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25" w:leftChars="-203" w:right="-483" w:rightChars="-230" w:hanging="1"/>
        <w:rPr>
          <w:b/>
          <w:color w:val="FF0000"/>
          <w:sz w:val="76"/>
          <w:szCs w:val="76"/>
        </w:rPr>
      </w:pPr>
    </w:p>
    <w:p>
      <w:pPr>
        <w:ind w:left="-425" w:leftChars="-203" w:right="-483" w:rightChars="-230" w:hanging="1"/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line="400" w:lineRule="exact"/>
        <w:ind w:left="-425" w:leftChars="-203" w:right="-483" w:rightChars="-230" w:hanging="1"/>
        <w:jc w:val="center"/>
        <w:rPr>
          <w:rFonts w:ascii="仿宋_GB2312" w:eastAsia="仿宋_GB2312"/>
          <w:sz w:val="28"/>
          <w:szCs w:val="28"/>
          <w:highlight w:val="yellow"/>
        </w:rPr>
      </w:pPr>
    </w:p>
    <w:p>
      <w:pPr>
        <w:spacing w:line="400" w:lineRule="exact"/>
        <w:ind w:left="-425" w:leftChars="-203" w:right="-483" w:rightChars="-230" w:hanging="1"/>
        <w:jc w:val="center"/>
        <w:rPr>
          <w:rFonts w:ascii="仿宋_GB2312" w:eastAsia="仿宋_GB2312"/>
          <w:sz w:val="28"/>
          <w:szCs w:val="28"/>
          <w:highlight w:val="yellow"/>
        </w:rPr>
      </w:pPr>
    </w:p>
    <w:p>
      <w:pPr>
        <w:spacing w:line="500" w:lineRule="exact"/>
        <w:ind w:left="-425" w:leftChars="-203" w:right="-483" w:rightChars="-230" w:hanging="1"/>
        <w:jc w:val="center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ascii="仿宋" w:hAnsi="仿宋" w:eastAsia="仿宋"/>
          <w:color w:val="333333"/>
          <w:spacing w:val="8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375920</wp:posOffset>
                </wp:positionV>
                <wp:extent cx="5804535" cy="0"/>
                <wp:effectExtent l="0" t="0" r="37465" b="25400"/>
                <wp:wrapNone/>
                <wp:docPr id="102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22.9pt;margin-top:29.6pt;height:0pt;width:457.05pt;z-index:1024;mso-width-relative:page;mso-height-relative:page;" filled="f" stroked="t" coordsize="21600,21600" o:gfxdata="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JLyEdoAAAAJAQAADwAAAAAAAAABACAAAAAi&#10;AAAAZHJzL2Rvd25yZXYueG1sUEsBAhQAFAAAAAgAh07iQKqfoEzPAQAAkAMAAA4AAAAAAAAAAQAg&#10;AAAAKQ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中总秘【2019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】7号</w:t>
      </w:r>
    </w:p>
    <w:p>
      <w:pPr>
        <w:spacing w:line="500" w:lineRule="exact"/>
        <w:ind w:left="-425" w:leftChars="-203" w:right="-483" w:rightChars="-230" w:hanging="1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</w:p>
    <w:p>
      <w:pPr>
        <w:spacing w:line="500" w:lineRule="exact"/>
        <w:ind w:left="-425" w:leftChars="-203" w:right="-483" w:rightChars="-230" w:hanging="1"/>
        <w:jc w:val="center"/>
        <w:rPr>
          <w:rFonts w:cs="黑体"/>
          <w:b/>
          <w:bCs/>
          <w:kern w:val="10"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</w:t>
      </w:r>
      <w:r>
        <w:rPr>
          <w:rFonts w:hint="eastAsia" w:cs="黑体"/>
          <w:b/>
          <w:bCs/>
          <w:kern w:val="10"/>
          <w:sz w:val="36"/>
          <w:szCs w:val="36"/>
        </w:rPr>
        <w:t>办“大智移云时代的企业财务转型与智能财务建设，财务共享中心建设、运营与提升”研讨培训活动</w:t>
      </w:r>
    </w:p>
    <w:p>
      <w:pPr>
        <w:spacing w:line="500" w:lineRule="exact"/>
        <w:ind w:left="-425" w:leftChars="-203" w:right="-483" w:rightChars="-230" w:hanging="1"/>
        <w:jc w:val="center"/>
        <w:rPr>
          <w:rFonts w:cs="黑体"/>
          <w:b/>
          <w:bCs/>
          <w:kern w:val="10"/>
          <w:sz w:val="36"/>
          <w:szCs w:val="36"/>
        </w:rPr>
      </w:pPr>
      <w:r>
        <w:rPr>
          <w:rFonts w:hint="eastAsia" w:cs="黑体"/>
          <w:b/>
          <w:bCs/>
          <w:kern w:val="10"/>
          <w:sz w:val="36"/>
          <w:szCs w:val="36"/>
        </w:rPr>
        <w:t>的通知</w:t>
      </w:r>
    </w:p>
    <w:p>
      <w:pPr>
        <w:spacing w:line="380" w:lineRule="exact"/>
        <w:ind w:left="-425" w:leftChars="-203" w:right="-483" w:rightChars="-230" w:hanging="1"/>
        <w:jc w:val="center"/>
        <w:rPr>
          <w:rFonts w:ascii="仿宋" w:hAnsi="仿宋" w:eastAsia="仿宋" w:cs="仿宋"/>
          <w:kern w:val="10"/>
          <w:sz w:val="28"/>
          <w:szCs w:val="28"/>
        </w:rPr>
      </w:pPr>
    </w:p>
    <w:p>
      <w:pPr>
        <w:widowControl/>
        <w:snapToGrid w:val="0"/>
        <w:spacing w:line="50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各地方总会计师协会（研究会），各分会；各会员单位，各企事业及有关单位：</w:t>
      </w:r>
    </w:p>
    <w:p>
      <w:pPr>
        <w:widowControl/>
        <w:snapToGrid w:val="0"/>
        <w:spacing w:line="500" w:lineRule="exact"/>
        <w:ind w:left="-425" w:leftChars="-203" w:right="-483" w:rightChars="-230" w:hanging="1"/>
        <w:jc w:val="left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   当前，正处于我国经济转型、企业改革发展的关键时期，各单位正在经历大数据、人工智能等技术带来的组织变革和管理变革，财务管理人员也面临着转型升级的机遇和挑战。为了帮助财务管理人员更好地提升能力、履行职责，</w:t>
      </w:r>
      <w:r>
        <w:rPr>
          <w:rFonts w:hint="eastAsia" w:ascii="仿宋_GB2312" w:hAnsi="宋体" w:eastAsia="仿宋_GB2312" w:cs="仿宋"/>
          <w:sz w:val="30"/>
          <w:szCs w:val="30"/>
        </w:rPr>
        <w:t>构建以战略引领、业财融合为特点的支撑企业发展的财务管理体系；同时，帮助企业从实际操作层面学习建立财务共享中心的路径和实施方案，以及财务共享中心运营、提升和功能延展的知识和技能，中国总会计师协会将分别举办“大智移云时代的企业财务转型与智能财务建设，财务共享中心建设、运营与提升”等专题研讨活动。现将活动方案予以印发，请各单位积极做好相关人员的组织和报名工作。</w:t>
      </w:r>
    </w:p>
    <w:p>
      <w:pPr>
        <w:autoSpaceDN w:val="0"/>
        <w:spacing w:line="5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附件：</w:t>
      </w:r>
      <w:r>
        <w:rPr>
          <w:rFonts w:ascii="仿宋_GB2312" w:hAnsi="宋体" w:eastAsia="仿宋_GB2312" w:cs="仿宋"/>
          <w:sz w:val="30"/>
          <w:szCs w:val="30"/>
        </w:rPr>
        <w:t xml:space="preserve"> 1.</w:t>
      </w:r>
      <w:r>
        <w:rPr>
          <w:rFonts w:hint="eastAsia" w:ascii="仿宋_GB2312" w:hAnsi="宋体" w:eastAsia="仿宋_GB2312" w:cs="仿宋"/>
          <w:sz w:val="30"/>
          <w:szCs w:val="30"/>
        </w:rPr>
        <w:t>工作方案</w:t>
      </w:r>
    </w:p>
    <w:p>
      <w:pPr>
        <w:autoSpaceDN w:val="0"/>
        <w:spacing w:line="5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  2.报名回执表</w:t>
      </w:r>
    </w:p>
    <w:p>
      <w:pPr>
        <w:shd w:val="clear" w:color="auto" w:fill="FFFFFF"/>
        <w:autoSpaceDN w:val="0"/>
        <w:spacing w:line="5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5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                      中国总会计师协会秘书处</w:t>
      </w:r>
    </w:p>
    <w:p>
      <w:pPr>
        <w:snapToGrid w:val="0"/>
        <w:spacing w:line="5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                      二</w:t>
      </w:r>
      <w:r>
        <w:rPr>
          <w:rFonts w:ascii="仿宋_GB2312" w:hAnsi="宋体" w:eastAsia="仿宋_GB2312" w:cs="仿宋"/>
          <w:sz w:val="30"/>
          <w:szCs w:val="30"/>
        </w:rPr>
        <w:t>O</w:t>
      </w:r>
      <w:r>
        <w:rPr>
          <w:rFonts w:hint="eastAsia" w:ascii="仿宋_GB2312" w:hAnsi="宋体" w:eastAsia="仿宋_GB2312" w:cs="仿宋"/>
          <w:sz w:val="30"/>
          <w:szCs w:val="30"/>
        </w:rPr>
        <w:t>一九年一月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二十八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spacing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420" w:lineRule="exact"/>
        <w:ind w:left="-425" w:leftChars="-203" w:right="-483" w:rightChars="-230" w:hanging="1"/>
        <w:jc w:val="center"/>
        <w:rPr>
          <w:rFonts w:ascii="宋体" w:hAnsi="宋体" w:cs="黑体"/>
          <w:b/>
          <w:bCs/>
          <w:kern w:val="10"/>
          <w:sz w:val="36"/>
          <w:szCs w:val="36"/>
        </w:rPr>
      </w:pPr>
      <w:r>
        <w:rPr>
          <w:rFonts w:hint="eastAsia" w:cs="黑体"/>
          <w:b/>
          <w:bCs/>
          <w:kern w:val="10"/>
          <w:sz w:val="36"/>
          <w:szCs w:val="36"/>
        </w:rPr>
        <w:t>“大智移云时代的企业财务转型与智能财务建设，财务共享中心建设、运营与提升”</w:t>
      </w:r>
      <w:r>
        <w:rPr>
          <w:rFonts w:hint="eastAsia" w:ascii="宋体" w:hAnsi="宋体" w:cs="黑体"/>
          <w:b/>
          <w:bCs/>
          <w:kern w:val="10"/>
          <w:sz w:val="36"/>
          <w:szCs w:val="36"/>
        </w:rPr>
        <w:t>专题研讨活动</w:t>
      </w:r>
      <w:r>
        <w:rPr>
          <w:rFonts w:hint="eastAsia" w:ascii="宋体" w:hAnsi="宋体" w:cs="仿宋"/>
          <w:b/>
          <w:sz w:val="36"/>
          <w:szCs w:val="36"/>
        </w:rPr>
        <w:t>工作方案</w:t>
      </w:r>
    </w:p>
    <w:p>
      <w:pPr>
        <w:spacing w:before="468" w:beforeLines="150"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主办单位：中国总会计师协会</w:t>
      </w:r>
    </w:p>
    <w:p>
      <w:pPr>
        <w:spacing w:after="156" w:afterLines="50" w:line="4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（一）专题：大智移云时代的企业财务转型与智能财务建设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</w:t>
      </w:r>
      <w:r>
        <w:rPr>
          <w:rFonts w:ascii="仿宋_GB2312" w:hAnsi="宋体" w:eastAsia="仿宋_GB2312" w:cs="仿宋"/>
          <w:sz w:val="30"/>
          <w:szCs w:val="30"/>
        </w:rPr>
        <w:t>201</w:t>
      </w:r>
      <w:r>
        <w:rPr>
          <w:rFonts w:hint="eastAsia" w:ascii="仿宋_GB2312" w:hAnsi="宋体" w:eastAsia="仿宋_GB2312" w:cs="仿宋"/>
          <w:sz w:val="30"/>
          <w:szCs w:val="30"/>
        </w:rPr>
        <w:t>9年</w:t>
      </w:r>
      <w:r>
        <w:rPr>
          <w:rFonts w:ascii="仿宋_GB2312" w:hAnsi="宋体" w:eastAsia="仿宋_GB2312" w:cs="仿宋"/>
          <w:sz w:val="30"/>
          <w:szCs w:val="30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月19日</w:t>
      </w:r>
      <w:r>
        <w:rPr>
          <w:rFonts w:ascii="仿宋_GB2312" w:hAnsi="宋体" w:eastAsia="仿宋_GB2312" w:cs="仿宋"/>
          <w:sz w:val="30"/>
          <w:szCs w:val="30"/>
        </w:rPr>
        <w:t>—</w:t>
      </w:r>
      <w:r>
        <w:rPr>
          <w:rFonts w:hint="eastAsia" w:ascii="仿宋_GB2312" w:hAnsi="宋体" w:eastAsia="仿宋_GB2312" w:cs="仿宋"/>
          <w:sz w:val="30"/>
          <w:szCs w:val="30"/>
        </w:rPr>
        <w:t>23日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地点：桂林市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（二）专题: 大智移云时代的财务共享中心建设、运营与提升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时间：2019年5月1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"/>
          <w:sz w:val="30"/>
          <w:szCs w:val="30"/>
        </w:rPr>
        <w:t>日—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地点：上海市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（具体地址开会前十天见报到通知）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pStyle w:val="37"/>
        <w:numPr>
          <w:ilvl w:val="0"/>
          <w:numId w:val="1"/>
        </w:numPr>
        <w:spacing w:line="440" w:lineRule="exact"/>
        <w:ind w:right="-483" w:rightChars="-230" w:firstLineChars="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参会对象</w:t>
      </w:r>
    </w:p>
    <w:p>
      <w:pPr>
        <w:spacing w:line="440" w:lineRule="exact"/>
        <w:ind w:left="-426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政府机关、企事业单位总会计师、财务总监、首席财务官、财务部门负责人；财务和税务经理、主管等；财务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_GB2312" w:hAnsi="宋体" w:eastAsia="仿宋_GB2312" w:cs="仿宋"/>
          <w:sz w:val="30"/>
          <w:szCs w:val="30"/>
        </w:rPr>
        <w:t>CPA</w:t>
      </w:r>
      <w:r>
        <w:rPr>
          <w:rFonts w:hint="eastAsia" w:ascii="仿宋_GB2312" w:hAnsi="宋体" w:eastAsia="仿宋_GB2312" w:cs="仿宋"/>
          <w:sz w:val="30"/>
          <w:szCs w:val="30"/>
        </w:rPr>
        <w:t>、咨询师；金融行业金融分析师、风险控制师；大中专院校会计专业教师；需要加强会计知识学习和提升的各单位主要负责人等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三、研讨内容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专题一：大智移云时代的企业财务转型与智能财务建设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（一）大智移云时代的财务转型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1、大智移云时代财务转型的方向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财务转型设计框架与大财务理念；从关注报表生成到关注管理决策需求；从核算型财务走向业务型财务与战略型财务；从关注资金的流动性走向资金的投融资运作与战略层面的司库管理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2、管理会计+信息化，推动财务管理转型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“互联网</w:t>
      </w:r>
      <w:r>
        <w:rPr>
          <w:rFonts w:ascii="仿宋_GB2312" w:hAnsi="宋体" w:eastAsia="仿宋_GB2312" w:cs="仿宋"/>
          <w:sz w:val="30"/>
          <w:szCs w:val="30"/>
        </w:rPr>
        <w:t>+</w:t>
      </w:r>
      <w:r>
        <w:rPr>
          <w:rFonts w:hint="eastAsia" w:ascii="仿宋_GB2312" w:hAnsi="宋体" w:eastAsia="仿宋_GB2312" w:cs="仿宋"/>
          <w:sz w:val="30"/>
          <w:szCs w:val="30"/>
        </w:rPr>
        <w:t>”对管理会计体系的冲击和融合；大数据、云计算等新技术与管理会计的关系；全面整合企业信息、真正实现业财一体化的管理会计信息系统；预测、计划预算、报告一体化的信息化平台的搭建与利用；财务分析与绩效考核在管理会计软件平台上的实现</w:t>
      </w:r>
    </w:p>
    <w:p>
      <w:pPr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（二）智能财务建设与财务转型</w:t>
      </w:r>
    </w:p>
    <w:p>
      <w:pPr>
        <w:widowControl/>
        <w:spacing w:line="440" w:lineRule="exact"/>
        <w:ind w:left="-426" w:leftChars="-203" w:right="-483" w:rightChars="-230" w:firstLine="6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信息化助力财务体系数字化与智能化；财务信息化发展与财务大数据价值；大数据时代组织变革与管理创新；智能财务项目规划、建设过程与难点以及若干案例分析；管理会计智能化展望；智能财务与大数据最佳实施案例；大数据应用前沿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（三）财务转型与财务共享服务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 以共享服务为基础的财务转型，共享服务中心的建设、运营与提升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（四）财务转型的能力素质要求与提升</w:t>
      </w:r>
    </w:p>
    <w:p>
      <w:pPr>
        <w:widowControl/>
        <w:spacing w:line="440" w:lineRule="exact"/>
        <w:ind w:left="-426" w:leftChars="-203" w:right="-483" w:rightChars="-23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财务组织从核算型转向管理决策型组织；财务人员从核算型人才转向决策支持与执行人员；财务管理如何适应财务体系数字化和智能化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2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专题二：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财务共享中心建设、运营与提升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1、共享中心发展概述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财务转型与组织变革；财务共享服务的概念与发展；共享服务的适用性问题；共享服务建设中的核心要素；信息系统对共享服务的支撑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2、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共享中心建设与集团企业管理转型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重新认识共享中心的意义与价值；共享中心本土化的困难与挑战</w:t>
      </w:r>
      <w:r>
        <w:rPr>
          <w:rFonts w:ascii="仿宋_GB2312" w:hAnsi="宋体" w:eastAsia="仿宋_GB2312" w:cs="仿宋"/>
          <w:sz w:val="30"/>
          <w:szCs w:val="30"/>
        </w:rPr>
        <w:t>——</w:t>
      </w:r>
      <w:r>
        <w:rPr>
          <w:rFonts w:hint="eastAsia" w:ascii="仿宋_GB2312" w:hAnsi="宋体" w:eastAsia="仿宋_GB2312" w:cs="仿宋"/>
          <w:sz w:val="30"/>
          <w:szCs w:val="30"/>
        </w:rPr>
        <w:t>共享对财务、税务、内控的影响；支持不同战略方向转型的共享中心建设案例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3、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财务共享服务中心的建设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财务共享中心的战略结构、战略职能、流程；财务共享中心组织的定位、组织架构变化；财务共享中心人员安排；财务共享中心的地位及主要工作；</w:t>
      </w:r>
      <w:r>
        <w:rPr>
          <w:rFonts w:ascii="仿宋_GB2312" w:hAnsi="宋体" w:eastAsia="仿宋_GB2312" w:cs="仿宋"/>
          <w:sz w:val="30"/>
          <w:szCs w:val="30"/>
        </w:rPr>
        <w:t>IT</w:t>
      </w:r>
      <w:r>
        <w:rPr>
          <w:rFonts w:hint="eastAsia" w:ascii="仿宋_GB2312" w:hAnsi="宋体" w:eastAsia="仿宋_GB2312" w:cs="仿宋"/>
          <w:sz w:val="30"/>
          <w:szCs w:val="30"/>
        </w:rPr>
        <w:t>应用系统的选型；财务共享中心的核心工作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4、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</w:t>
      </w:r>
      <w:r>
        <w:rPr>
          <w:rFonts w:hint="eastAsia" w:ascii="仿宋_GB2312" w:hAnsi="宋体" w:eastAsia="仿宋_GB2312" w:cs="仿宋"/>
          <w:b/>
          <w:sz w:val="30"/>
          <w:szCs w:val="30"/>
        </w:rPr>
        <w:t>财务共享服务中心的运营管理</w:t>
      </w:r>
    </w:p>
    <w:p>
      <w:pPr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共享中心在企业管理中的定位；共享中心团队的绩效问题；共享中心人员的职业发展问题；财务共享服务中心的运营管理的案例分析；集团共享中心的衍生价值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5、财务转型基于共享服务平台的打造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财务共享服务与集团信息化、管理会计的关系；管理会计导向的财务共享服务中心建设框架设计；财务共享未来发展方向</w:t>
      </w:r>
    </w:p>
    <w:p>
      <w:pPr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6、</w:t>
      </w:r>
      <w:r>
        <w:rPr>
          <w:rFonts w:hint="eastAsia" w:ascii="仿宋_GB2312" w:hAnsi="宋体" w:eastAsia="仿宋_GB2312" w:cs="仿宋"/>
          <w:b/>
          <w:bCs/>
          <w:sz w:val="30"/>
          <w:szCs w:val="30"/>
        </w:rPr>
        <w:t>大智移云时代财务共享服务中心如何提升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智能化背景下财务共享服务未来发展趋势；自动化、智能化在财务共享服务中心的应用；财务共享服务典型案例分析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7、财务共享服务中心如何发挥司库的部分职能</w:t>
      </w:r>
    </w:p>
    <w:p>
      <w:pPr>
        <w:widowControl/>
        <w:spacing w:line="440" w:lineRule="exact"/>
        <w:ind w:left="-425" w:leftChars="-203" w:right="-483" w:rightChars="-230" w:hanging="1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资金管理集中化、财务公司与司库管理的关系；财务共享服务中心如何发挥司库的部分职能；司库在企业集团财务管理中的角色定位；司库运行流程与体系建设；如何在现有信息化基础上建设企业司库</w:t>
      </w:r>
    </w:p>
    <w:p>
      <w:pPr>
        <w:spacing w:line="120" w:lineRule="exact"/>
        <w:ind w:right="-483" w:rightChars="-230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四、师资力量</w:t>
      </w: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政府机关、学院、企业界等具有深厚理论功底和丰富实践经验的专家和教授组成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五、培训费用</w:t>
      </w: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收费标准：全年每期次培训费均为</w:t>
      </w:r>
      <w:r>
        <w:rPr>
          <w:rFonts w:ascii="仿宋_GB2312" w:hAnsi="宋体" w:eastAsia="仿宋_GB2312" w:cs="仿宋"/>
          <w:sz w:val="30"/>
          <w:szCs w:val="30"/>
        </w:rPr>
        <w:t>2900</w:t>
      </w:r>
      <w:r>
        <w:rPr>
          <w:rFonts w:hint="eastAsia" w:ascii="仿宋_GB2312" w:hAnsi="宋体" w:eastAsia="仿宋_GB2312" w:cs="仿宋"/>
          <w:sz w:val="30"/>
          <w:szCs w:val="30"/>
        </w:rPr>
        <w:t>元</w:t>
      </w:r>
      <w:r>
        <w:rPr>
          <w:rFonts w:ascii="仿宋_GB2312" w:hAnsi="宋体" w:eastAsia="仿宋_GB2312" w:cs="仿宋"/>
          <w:sz w:val="30"/>
          <w:szCs w:val="30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人</w:t>
      </w:r>
      <w:r>
        <w:rPr>
          <w:rFonts w:ascii="仿宋_GB2312" w:hAnsi="宋体" w:eastAsia="仿宋_GB2312" w:cs="仿宋"/>
          <w:sz w:val="30"/>
          <w:szCs w:val="30"/>
        </w:rPr>
        <w:t>(</w:t>
      </w:r>
      <w:r>
        <w:rPr>
          <w:rFonts w:hint="eastAsia" w:ascii="仿宋_GB2312" w:hAnsi="宋体" w:eastAsia="仿宋_GB2312" w:cs="仿宋"/>
          <w:sz w:val="30"/>
          <w:szCs w:val="30"/>
        </w:rPr>
        <w:t>包括专家授课费、资料费、教学场租设备费等</w:t>
      </w:r>
      <w:r>
        <w:rPr>
          <w:rFonts w:ascii="仿宋_GB2312" w:hAnsi="宋体" w:eastAsia="仿宋_GB2312" w:cs="仿宋"/>
          <w:sz w:val="30"/>
          <w:szCs w:val="30"/>
        </w:rPr>
        <w:t>)</w:t>
      </w:r>
      <w:r>
        <w:rPr>
          <w:rFonts w:hint="eastAsia" w:ascii="仿宋_GB2312" w:hAnsi="宋体" w:eastAsia="仿宋_GB2312" w:cs="仿宋"/>
          <w:sz w:val="30"/>
          <w:szCs w:val="30"/>
        </w:rPr>
        <w:t>。住宿和用餐统一安排，费用自理；交通费用自理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六、培训证书</w:t>
      </w:r>
    </w:p>
    <w:p>
      <w:pPr>
        <w:snapToGrid w:val="0"/>
        <w:spacing w:line="40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培训班学习期满，完成教学计划规定的全部课程，由中国总会计师协会颁发《财务岗位培训证书》</w:t>
      </w:r>
    </w:p>
    <w:p>
      <w:pPr>
        <w:spacing w:line="12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ind w:left="-425" w:leftChars="-203" w:right="-483" w:rightChars="-230" w:hanging="1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七、联系方式</w:t>
      </w: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电话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/</w:t>
      </w:r>
      <w:r>
        <w:rPr>
          <w:rFonts w:hint="eastAsia" w:ascii="仿宋_GB2312" w:hAnsi="宋体" w:eastAsia="仿宋_GB2312" w:cs="仿宋"/>
          <w:sz w:val="30"/>
          <w:szCs w:val="30"/>
        </w:rPr>
        <w:t>传真：</w:t>
      </w:r>
      <w:r>
        <w:rPr>
          <w:rFonts w:ascii="仿宋_GB2312" w:hAnsi="宋体" w:eastAsia="仿宋_GB2312" w:cs="仿宋"/>
          <w:sz w:val="30"/>
          <w:szCs w:val="30"/>
        </w:rPr>
        <w:t>010-</w:t>
      </w:r>
      <w:r>
        <w:rPr>
          <w:rFonts w:hint="eastAsia" w:ascii="仿宋_GB2312" w:hAnsi="宋体" w:eastAsia="仿宋_GB2312" w:cs="仿宋"/>
          <w:sz w:val="30"/>
          <w:szCs w:val="30"/>
        </w:rPr>
        <w:t>63381780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邮箱：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lunwen@cmcfo.cn</w:t>
      </w: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left="-425" w:leftChars="-203" w:right="-483" w:rightChars="-230" w:hanging="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ind w:right="-483" w:rightChars="-230"/>
        <w:rPr>
          <w:rFonts w:ascii="仿宋_GB2312" w:hAnsi="宋体" w:eastAsia="仿宋_GB2312" w:cs="仿宋"/>
          <w:sz w:val="30"/>
          <w:szCs w:val="30"/>
        </w:rPr>
      </w:pPr>
    </w:p>
    <w:p>
      <w:pPr>
        <w:spacing w:line="340" w:lineRule="exact"/>
        <w:ind w:left="-425" w:leftChars="-203" w:right="-483" w:rightChars="-230" w:hanging="1"/>
        <w:rPr>
          <w:rFonts w:ascii="宋体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“大智移云时代的企业财务转型与智能财务”报名表</w:t>
      </w:r>
    </w:p>
    <w:p>
      <w:pPr>
        <w:spacing w:line="340" w:lineRule="exact"/>
        <w:ind w:left="-425" w:leftChars="-203" w:right="-483" w:rightChars="-230" w:hanging="1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地点：桂林</w:t>
      </w:r>
      <w:r>
        <w:rPr>
          <w:rFonts w:ascii="仿宋" w:hAnsi="仿宋" w:eastAsia="仿宋"/>
          <w:color w:val="000000"/>
          <w:sz w:val="30"/>
          <w:szCs w:val="30"/>
        </w:rPr>
        <w:t xml:space="preserve">) </w:t>
      </w:r>
    </w:p>
    <w:tbl>
      <w:tblPr>
        <w:tblStyle w:val="13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开户行：中国光大银行北京市礼士路支行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</w:t>
            </w:r>
          </w:p>
          <w:p>
            <w:pPr>
              <w:snapToGrid w:val="0"/>
              <w:spacing w:line="440" w:lineRule="exact"/>
              <w:ind w:left="414" w:leftChars="-203" w:right="-483" w:rightChars="-230" w:hanging="840" w:hangingChars="300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传真：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63381780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40" w:lineRule="exact"/>
              <w:ind w:left="472" w:leftChars="82" w:right="-483" w:rightChars="-230" w:hanging="300" w:hangingChars="100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培训费共计：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483" w:rightChars="-23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ind w:left="-425" w:leftChars="-203" w:right="-483" w:rightChars="-230" w:hanging="1"/>
        <w:jc w:val="center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ascii="仿宋_GB2312" w:hAnsi="宋体" w:eastAsia="仿宋_GB2312" w:cs="仿宋"/>
          <w:b/>
          <w:bCs/>
          <w:sz w:val="32"/>
          <w:szCs w:val="32"/>
        </w:rPr>
        <w:t xml:space="preserve"> </w:t>
      </w:r>
    </w:p>
    <w:p>
      <w:pPr>
        <w:spacing w:line="380" w:lineRule="exact"/>
        <w:ind w:left="-425" w:leftChars="-203" w:right="-483" w:rightChars="-230" w:hanging="1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“大智移云时代的财务共享中心建设、运营与提升”报名表</w:t>
      </w:r>
    </w:p>
    <w:p>
      <w:pPr>
        <w:spacing w:line="400" w:lineRule="exact"/>
        <w:ind w:left="-425" w:leftChars="-203" w:right="-483" w:rightChars="-230" w:hanging="1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地点：上海</w:t>
      </w:r>
      <w:r>
        <w:rPr>
          <w:rFonts w:ascii="仿宋" w:hAnsi="仿宋" w:eastAsia="仿宋"/>
          <w:color w:val="000000"/>
          <w:sz w:val="30"/>
          <w:szCs w:val="30"/>
        </w:rPr>
        <w:t>)</w:t>
      </w:r>
    </w:p>
    <w:tbl>
      <w:tblPr>
        <w:tblStyle w:val="13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开户行：中国光大银行北京市礼士路支行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</w:t>
            </w:r>
          </w:p>
          <w:p>
            <w:pPr>
              <w:snapToGrid w:val="0"/>
              <w:spacing w:line="440" w:lineRule="exact"/>
              <w:ind w:left="414" w:leftChars="-203" w:right="-483" w:rightChars="-230" w:hanging="840" w:hangingChars="300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指定账户，以便会务组提前安排各项事宜。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传真：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>010-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63381780</w:t>
            </w:r>
            <w:r>
              <w:rPr>
                <w:rFonts w:ascii="仿宋_GB2312" w:hAnsi="宋体" w:eastAsia="仿宋_GB2312" w:cs="仿宋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440" w:lineRule="exact"/>
              <w:ind w:left="472" w:leftChars="82" w:right="-483" w:rightChars="-230" w:hanging="300" w:hangingChars="100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邮箱：</w:t>
            </w:r>
            <w:r>
              <w:rPr>
                <w:rFonts w:hint="eastAsia" w:ascii="仿宋_GB2312" w:hAnsi="宋体" w:eastAsia="仿宋_GB2312" w:cs="仿宋"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left="-425" w:leftChars="-203" w:right="-483" w:rightChars="-230" w:hanging="1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会培训费共计：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-425" w:leftChars="-203" w:right="-483" w:rightChars="-230" w:hanging="1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483" w:rightChars="-23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-425" w:leftChars="-203" w:right="-483" w:rightChars="-230" w:hanging="1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>
      <w:pPr>
        <w:spacing w:line="400" w:lineRule="exact"/>
        <w:ind w:left="-425" w:leftChars="-203" w:right="-483" w:rightChars="-230" w:hanging="1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宋体籠适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?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2"/>
      <w:numFmt w:val="japaneseCounting"/>
      <w:lvlText w:val="%1、"/>
      <w:lvlJc w:val="left"/>
      <w:pPr>
        <w:ind w:left="294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534" w:hanging="480"/>
      </w:pPr>
    </w:lvl>
    <w:lvl w:ilvl="2" w:tentative="0">
      <w:start w:val="1"/>
      <w:numFmt w:val="lowerRoman"/>
      <w:lvlText w:val="%3."/>
      <w:lvlJc w:val="right"/>
      <w:pPr>
        <w:ind w:left="1014" w:hanging="480"/>
      </w:pPr>
    </w:lvl>
    <w:lvl w:ilvl="3" w:tentative="0">
      <w:start w:val="1"/>
      <w:numFmt w:val="decimal"/>
      <w:lvlText w:val="%4."/>
      <w:lvlJc w:val="left"/>
      <w:pPr>
        <w:ind w:left="1494" w:hanging="480"/>
      </w:pPr>
    </w:lvl>
    <w:lvl w:ilvl="4" w:tentative="0">
      <w:start w:val="1"/>
      <w:numFmt w:val="lowerLetter"/>
      <w:lvlText w:val="%5)"/>
      <w:lvlJc w:val="left"/>
      <w:pPr>
        <w:ind w:left="1974" w:hanging="480"/>
      </w:pPr>
    </w:lvl>
    <w:lvl w:ilvl="5" w:tentative="0">
      <w:start w:val="1"/>
      <w:numFmt w:val="lowerRoman"/>
      <w:lvlText w:val="%6."/>
      <w:lvlJc w:val="right"/>
      <w:pPr>
        <w:ind w:left="2454" w:hanging="480"/>
      </w:pPr>
    </w:lvl>
    <w:lvl w:ilvl="6" w:tentative="0">
      <w:start w:val="1"/>
      <w:numFmt w:val="decimal"/>
      <w:lvlText w:val="%7."/>
      <w:lvlJc w:val="left"/>
      <w:pPr>
        <w:ind w:left="2934" w:hanging="480"/>
      </w:pPr>
    </w:lvl>
    <w:lvl w:ilvl="7" w:tentative="0">
      <w:start w:val="1"/>
      <w:numFmt w:val="lowerLetter"/>
      <w:lvlText w:val="%8)"/>
      <w:lvlJc w:val="left"/>
      <w:pPr>
        <w:ind w:left="3414" w:hanging="480"/>
      </w:pPr>
    </w:lvl>
    <w:lvl w:ilvl="8" w:tentative="0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6A62"/>
    <w:rsid w:val="734006D0"/>
    <w:rsid w:val="7E8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1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1"/>
    <w:qFormat/>
    <w:uiPriority w:val="99"/>
    <w:rPr>
      <w:rFonts w:ascii="宋体" w:hAnsi="Courier New"/>
      <w:kern w:val="0"/>
      <w:szCs w:val="21"/>
    </w:rPr>
  </w:style>
  <w:style w:type="paragraph" w:styleId="3">
    <w:name w:val="Date"/>
    <w:basedOn w:val="1"/>
    <w:next w:val="1"/>
    <w:link w:val="29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30"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rFonts w:cs="Times New Roman"/>
      <w:b/>
      <w:bCs/>
    </w:rPr>
  </w:style>
  <w:style w:type="character" w:styleId="10">
    <w:name w:val="FollowedHyperlink"/>
    <w:qFormat/>
    <w:uiPriority w:val="99"/>
    <w:rPr>
      <w:rFonts w:cs="Times New Roman"/>
      <w:color w:val="5A5A5A"/>
      <w:u w:val="none"/>
    </w:rPr>
  </w:style>
  <w:style w:type="character" w:styleId="11">
    <w:name w:val="Emphasis"/>
    <w:qFormat/>
    <w:uiPriority w:val="99"/>
    <w:rPr>
      <w:rFonts w:cs="Times New Roman"/>
      <w:color w:val="5A5A5A"/>
      <w:sz w:val="18"/>
      <w:szCs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jian"/>
    <w:qFormat/>
    <w:uiPriority w:val="99"/>
    <w:rPr>
      <w:rFonts w:cs="Times New Roman"/>
    </w:rPr>
  </w:style>
  <w:style w:type="character" w:customStyle="1" w:styleId="16">
    <w:name w:val="Date Char"/>
    <w:qFormat/>
    <w:uiPriority w:val="99"/>
  </w:style>
  <w:style w:type="character" w:customStyle="1" w:styleId="17">
    <w:name w:val="onmenu02"/>
    <w:qFormat/>
    <w:uiPriority w:val="99"/>
    <w:rPr>
      <w:rFonts w:cs="Times New Roman"/>
      <w:color w:val="D7D7D7"/>
    </w:rPr>
  </w:style>
  <w:style w:type="character" w:customStyle="1" w:styleId="18">
    <w:name w:val="Plain Text Char"/>
    <w:qFormat/>
    <w:uiPriority w:val="99"/>
    <w:rPr>
      <w:rFonts w:ascii="宋体" w:hAnsi="Courier New"/>
      <w:sz w:val="20"/>
    </w:rPr>
  </w:style>
  <w:style w:type="character" w:customStyle="1" w:styleId="19">
    <w:name w:val="apple-converted-space"/>
    <w:qFormat/>
    <w:uiPriority w:val="99"/>
    <w:rPr>
      <w:rFonts w:cs="Times New Roman"/>
    </w:rPr>
  </w:style>
  <w:style w:type="character" w:customStyle="1" w:styleId="20">
    <w:name w:val="Footer Char_fbd12942-9b50-42f6-adab-48503ebdd3a7"/>
    <w:qFormat/>
    <w:uiPriority w:val="99"/>
    <w:rPr>
      <w:sz w:val="18"/>
    </w:rPr>
  </w:style>
  <w:style w:type="character" w:customStyle="1" w:styleId="21">
    <w:name w:val="Header Char_32540531-7a54-4a87-a5db-4b76541e7405"/>
    <w:qFormat/>
    <w:uiPriority w:val="99"/>
    <w:rPr>
      <w:sz w:val="18"/>
    </w:rPr>
  </w:style>
  <w:style w:type="character" w:customStyle="1" w:styleId="22">
    <w:name w:val="Balloon Text Char"/>
    <w:qFormat/>
    <w:uiPriority w:val="99"/>
    <w:rPr>
      <w:sz w:val="18"/>
    </w:rPr>
  </w:style>
  <w:style w:type="character" w:customStyle="1" w:styleId="23">
    <w:name w:val="无间隔 Char"/>
    <w:link w:val="24"/>
    <w:qFormat/>
    <w:uiPriority w:val="99"/>
    <w:rPr>
      <w:rFonts w:ascii="Cambria" w:hAnsi="Cambria" w:eastAsia="宋体" w:cs="Times New Roman"/>
      <w:sz w:val="22"/>
      <w:szCs w:val="22"/>
      <w:lang w:val="en-US" w:eastAsia="en-US"/>
    </w:rPr>
  </w:style>
  <w:style w:type="paragraph" w:customStyle="1" w:styleId="24">
    <w:name w:val="无间隔1"/>
    <w:basedOn w:val="1"/>
    <w:link w:val="23"/>
    <w:qFormat/>
    <w:uiPriority w:val="99"/>
    <w:pPr>
      <w:widowControl/>
      <w:jc w:val="left"/>
    </w:pPr>
    <w:rPr>
      <w:rFonts w:ascii="Cambria" w:hAnsi="Cambria"/>
      <w:kern w:val="0"/>
      <w:sz w:val="22"/>
      <w:lang w:eastAsia="en-US"/>
    </w:rPr>
  </w:style>
  <w:style w:type="character" w:customStyle="1" w:styleId="25">
    <w:name w:val="fr"/>
    <w:qFormat/>
    <w:uiPriority w:val="99"/>
    <w:rPr>
      <w:rFonts w:cs="Times New Roman"/>
    </w:rPr>
  </w:style>
  <w:style w:type="character" w:customStyle="1" w:styleId="26">
    <w:name w:val="line2"/>
    <w:qFormat/>
    <w:uiPriority w:val="99"/>
    <w:rPr>
      <w:rFonts w:cs="Times New Roman"/>
    </w:rPr>
  </w:style>
  <w:style w:type="character" w:customStyle="1" w:styleId="27">
    <w:name w:val="页脚字符"/>
    <w:link w:val="5"/>
    <w:qFormat/>
    <w:uiPriority w:val="99"/>
    <w:rPr>
      <w:rFonts w:cs="Times New Roman"/>
      <w:sz w:val="18"/>
      <w:szCs w:val="18"/>
    </w:rPr>
  </w:style>
  <w:style w:type="character" w:customStyle="1" w:styleId="28">
    <w:name w:val="页眉字符"/>
    <w:link w:val="6"/>
    <w:qFormat/>
    <w:uiPriority w:val="99"/>
    <w:rPr>
      <w:rFonts w:cs="Times New Roman"/>
      <w:sz w:val="18"/>
      <w:szCs w:val="18"/>
    </w:rPr>
  </w:style>
  <w:style w:type="character" w:customStyle="1" w:styleId="29">
    <w:name w:val="日期字符"/>
    <w:link w:val="3"/>
    <w:qFormat/>
    <w:uiPriority w:val="99"/>
    <w:rPr>
      <w:rFonts w:cs="Times New Roman"/>
    </w:rPr>
  </w:style>
  <w:style w:type="character" w:customStyle="1" w:styleId="30">
    <w:name w:val="批注框文本字符"/>
    <w:link w:val="4"/>
    <w:qFormat/>
    <w:uiPriority w:val="99"/>
    <w:rPr>
      <w:rFonts w:cs="Times New Roman"/>
      <w:sz w:val="2"/>
    </w:rPr>
  </w:style>
  <w:style w:type="character" w:customStyle="1" w:styleId="31">
    <w:name w:val="纯文本字符"/>
    <w:link w:val="2"/>
    <w:qFormat/>
    <w:uiPriority w:val="99"/>
    <w:rPr>
      <w:rFonts w:ascii="宋体" w:hAnsi="Courier New" w:cs="Courier New"/>
      <w:sz w:val="21"/>
      <w:szCs w:val="21"/>
    </w:rPr>
  </w:style>
  <w:style w:type="paragraph" w:customStyle="1" w:styleId="32">
    <w:name w:val="List Paragraph1"/>
    <w:basedOn w:val="1"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List Paragraph2"/>
    <w:basedOn w:val="1"/>
    <w:qFormat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35">
    <w:name w:val="Default"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 w:cs="Times New Roman"/>
      <w:color w:val="000000"/>
      <w:sz w:val="24"/>
      <w:lang w:val="en-US" w:eastAsia="zh-CN" w:bidi="ar-SA"/>
    </w:rPr>
  </w:style>
  <w:style w:type="character" w:customStyle="1" w:styleId="36">
    <w:name w:val="15"/>
    <w:uiPriority w:val="0"/>
    <w:rPr>
      <w:rFonts w:hint="default" w:ascii="Times New Roman" w:hAnsi="Times New Roman" w:cs="Times New Roman"/>
      <w:color w:val="5A5A5A"/>
    </w:rPr>
  </w:style>
  <w:style w:type="paragraph" w:styleId="3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2558</Words>
  <Characters>2648</Characters>
  <Paragraphs>302</Paragraphs>
  <TotalTime>0</TotalTime>
  <ScaleCrop>false</ScaleCrop>
  <LinksUpToDate>false</LinksUpToDate>
  <CharactersWithSpaces>3011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2019-01-21T17:33:00Z</dcterms:created>
  <dc:creator>User</dc:creator>
  <cp:lastModifiedBy>昨天设计</cp:lastModifiedBy>
  <cp:lastPrinted>2019-01-21T08:50:00Z</cp:lastPrinted>
  <dcterms:modified xsi:type="dcterms:W3CDTF">2019-05-06T05:18:12Z</dcterms:modified>
  <dc:title>中总协〔2014〕22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