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5" w:leftChars="-203" w:right="-483" w:rightChars="-230" w:hanging="1"/>
        <w:jc w:val="center"/>
        <w:rPr>
          <w:rFonts w:ascii="?????" w:hAnsi="?????" w:cs="?????"/>
          <w:b/>
          <w:bCs/>
          <w:color w:val="FF0000"/>
          <w:sz w:val="76"/>
          <w:szCs w:val="76"/>
        </w:rPr>
      </w:pPr>
      <w:r>
        <w:rPr>
          <w:rFonts w:hint="eastAsia" w:ascii="宋体" w:hAnsi="宋体" w:cs="宋体"/>
          <w:b/>
          <w:bCs/>
          <w:color w:val="FF0000"/>
          <w:w w:val="90"/>
          <w:sz w:val="84"/>
          <w:szCs w:val="84"/>
        </w:rPr>
        <w:t>中国总会计师协会文件</w:t>
      </w:r>
    </w:p>
    <w:p>
      <w:pPr>
        <w:spacing w:line="400" w:lineRule="exact"/>
        <w:ind w:left="-425" w:leftChars="-203" w:right="-483" w:rightChars="-230" w:hanging="1"/>
        <w:jc w:val="center"/>
        <w:rPr>
          <w:rFonts w:ascii="仿宋_GB2312" w:eastAsia="仿宋_GB2312"/>
          <w:sz w:val="28"/>
          <w:szCs w:val="28"/>
          <w:highlight w:val="yellow"/>
        </w:rPr>
      </w:pPr>
    </w:p>
    <w:p>
      <w:pPr>
        <w:spacing w:line="400" w:lineRule="exact"/>
        <w:ind w:left="-425" w:leftChars="-203" w:right="-483" w:rightChars="-230" w:hanging="1"/>
        <w:jc w:val="center"/>
        <w:rPr>
          <w:rFonts w:ascii="仿宋_GB2312" w:eastAsia="仿宋_GB2312"/>
          <w:sz w:val="28"/>
          <w:szCs w:val="28"/>
          <w:highlight w:val="yellow"/>
        </w:rPr>
      </w:pPr>
    </w:p>
    <w:p>
      <w:pPr>
        <w:spacing w:line="500" w:lineRule="exact"/>
        <w:ind w:left="-425" w:leftChars="-203" w:right="-483" w:rightChars="-230" w:hanging="1"/>
        <w:jc w:val="center"/>
        <w:rPr>
          <w:rFonts w:ascii="仿宋" w:hAnsi="仿宋" w:eastAsia="仿宋"/>
          <w:color w:val="333333"/>
          <w:spacing w:val="8"/>
          <w:sz w:val="32"/>
          <w:szCs w:val="32"/>
        </w:rPr>
      </w:pPr>
      <w:r>
        <w:rPr>
          <w:rFonts w:ascii="仿宋" w:hAnsi="仿宋" w:eastAsia="仿宋"/>
          <w:color w:val="333333"/>
          <w:spacing w:val="8"/>
          <w:sz w:val="32"/>
          <w:szCs w:val="32"/>
        </w:rPr>
        <mc:AlternateContent>
          <mc:Choice Requires="wps">
            <w:drawing>
              <wp:anchor distT="0" distB="0" distL="114300" distR="114300" simplePos="0" relativeHeight="1024" behindDoc="0" locked="0" layoutInCell="1" allowOverlap="1">
                <wp:simplePos x="0" y="0"/>
                <wp:positionH relativeFrom="column">
                  <wp:posOffset>-290830</wp:posOffset>
                </wp:positionH>
                <wp:positionV relativeFrom="paragraph">
                  <wp:posOffset>375920</wp:posOffset>
                </wp:positionV>
                <wp:extent cx="5804535" cy="0"/>
                <wp:effectExtent l="0" t="0" r="0" b="0"/>
                <wp:wrapNone/>
                <wp:docPr id="1" name="直线 14"/>
                <wp:cNvGraphicFramePr/>
                <a:graphic xmlns:a="http://schemas.openxmlformats.org/drawingml/2006/main">
                  <a:graphicData uri="http://schemas.microsoft.com/office/word/2010/wordprocessingShape">
                    <wps:wsp>
                      <wps:cNvCnPr/>
                      <wps:spPr>
                        <a:xfrm>
                          <a:off x="0" y="0"/>
                          <a:ext cx="580453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14" o:spid="_x0000_s1026" o:spt="20" style="position:absolute;left:0pt;margin-left:-22.9pt;margin-top:29.6pt;height:0pt;width:457.05pt;z-index:1024;mso-width-relative:page;mso-height-relative:page;" filled="f" stroked="t" coordsize="21600,21600" o:gfxdata="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kvIR2gAAAAkBAAAPAAAAAAAAAAEAIAAAACIAAABkcnMv&#10;ZG93bnJldi54bWxQSwECFAAUAAAACACHTuJAKd1RYsgBAACDAwAADgAAAAAAAAABACAAAAApAQAA&#10;ZHJzL2Uyb0RvYy54bWxQSwUGAAAAAAYABgBZAQAAYwUAAAAA&#10;">
                <v:fill on="f" focussize="0,0"/>
                <v:stroke weight="1.5pt" color="#FF0000" joinstyle="round"/>
                <v:imagedata o:title=""/>
                <o:lock v:ext="edit" aspectratio="f"/>
              </v:line>
            </w:pict>
          </mc:Fallback>
        </mc:AlternateContent>
      </w:r>
      <w:r>
        <w:rPr>
          <w:rFonts w:hint="eastAsia" w:ascii="仿宋" w:hAnsi="仿宋" w:eastAsia="仿宋"/>
          <w:color w:val="333333"/>
          <w:spacing w:val="8"/>
          <w:sz w:val="32"/>
          <w:szCs w:val="32"/>
        </w:rPr>
        <w:t>中总秘[2019] 34号</w:t>
      </w:r>
    </w:p>
    <w:p>
      <w:pPr>
        <w:spacing w:line="500" w:lineRule="exact"/>
        <w:ind w:left="-425" w:leftChars="-203" w:right="-483" w:rightChars="-230" w:hanging="1"/>
        <w:jc w:val="center"/>
        <w:rPr>
          <w:rFonts w:ascii="黑体" w:hAnsi="黑体" w:eastAsia="黑体" w:cs="黑体"/>
          <w:bCs/>
          <w:kern w:val="10"/>
          <w:sz w:val="44"/>
          <w:szCs w:val="44"/>
        </w:rPr>
      </w:pPr>
    </w:p>
    <w:p>
      <w:pPr>
        <w:spacing w:line="500" w:lineRule="exact"/>
        <w:ind w:left="-425" w:leftChars="-203" w:right="-483" w:rightChars="-230" w:hanging="1"/>
        <w:jc w:val="center"/>
        <w:rPr>
          <w:rFonts w:cs="黑体"/>
          <w:b/>
          <w:bCs/>
          <w:kern w:val="10"/>
          <w:sz w:val="36"/>
          <w:szCs w:val="36"/>
        </w:rPr>
      </w:pPr>
      <w:r>
        <w:rPr>
          <w:rFonts w:hint="eastAsia" w:ascii="宋体" w:cs="黑体"/>
          <w:b/>
          <w:bCs/>
          <w:kern w:val="10"/>
          <w:sz w:val="36"/>
          <w:szCs w:val="36"/>
        </w:rPr>
        <w:t>关于举</w:t>
      </w:r>
      <w:r>
        <w:rPr>
          <w:rFonts w:hint="eastAsia" w:cs="黑体"/>
          <w:b/>
          <w:bCs/>
          <w:kern w:val="10"/>
          <w:sz w:val="36"/>
          <w:szCs w:val="36"/>
        </w:rPr>
        <w:t>办“数字智能时代财务转型、管理会计创新</w:t>
      </w:r>
    </w:p>
    <w:p>
      <w:pPr>
        <w:spacing w:line="500" w:lineRule="exact"/>
        <w:ind w:left="-425" w:leftChars="-203" w:right="-483" w:rightChars="-230" w:hanging="1"/>
        <w:jc w:val="center"/>
        <w:rPr>
          <w:rFonts w:cs="黑体"/>
          <w:b/>
          <w:bCs/>
          <w:kern w:val="10"/>
          <w:sz w:val="36"/>
          <w:szCs w:val="36"/>
        </w:rPr>
      </w:pPr>
      <w:r>
        <w:rPr>
          <w:rFonts w:hint="eastAsia" w:cs="黑体"/>
          <w:b/>
          <w:bCs/>
          <w:kern w:val="10"/>
          <w:sz w:val="36"/>
          <w:szCs w:val="36"/>
        </w:rPr>
        <w:t>与财务共享”研讨培训活动的通知</w:t>
      </w:r>
    </w:p>
    <w:p>
      <w:pPr>
        <w:spacing w:line="380" w:lineRule="exact"/>
        <w:ind w:left="-425" w:leftChars="-203" w:right="-483" w:rightChars="-230" w:hanging="1"/>
        <w:jc w:val="center"/>
        <w:rPr>
          <w:rFonts w:ascii="仿宋" w:hAnsi="仿宋" w:eastAsia="仿宋" w:cs="仿宋"/>
          <w:kern w:val="10"/>
          <w:sz w:val="28"/>
          <w:szCs w:val="28"/>
        </w:rPr>
      </w:pPr>
    </w:p>
    <w:p>
      <w:pPr>
        <w:widowControl/>
        <w:snapToGrid w:val="0"/>
        <w:spacing w:line="500" w:lineRule="exact"/>
        <w:ind w:left="-425" w:leftChars="-203" w:right="-483" w:rightChars="-230" w:hanging="1"/>
        <w:jc w:val="left"/>
        <w:rPr>
          <w:rFonts w:ascii="仿宋" w:hAnsi="仿宋" w:eastAsia="仿宋" w:cs="仿宋"/>
          <w:sz w:val="30"/>
          <w:szCs w:val="30"/>
        </w:rPr>
      </w:pPr>
      <w:r>
        <w:rPr>
          <w:rFonts w:hint="eastAsia" w:ascii="仿宋" w:hAnsi="仿宋" w:eastAsia="仿宋" w:cs="仿宋"/>
          <w:sz w:val="30"/>
          <w:szCs w:val="30"/>
        </w:rPr>
        <w:t>各地方总会计师协会（研究会），各分会；各会员单位，各企事业及有关单位：</w:t>
      </w:r>
    </w:p>
    <w:p>
      <w:pPr>
        <w:spacing w:line="500" w:lineRule="exact"/>
        <w:ind w:left="-426" w:leftChars="-203" w:right="-483" w:rightChars="-230"/>
        <w:jc w:val="left"/>
        <w:rPr>
          <w:rFonts w:ascii="仿宋" w:hAnsi="仿宋" w:eastAsia="仿宋"/>
          <w:color w:val="333333"/>
          <w:spacing w:val="8"/>
          <w:sz w:val="32"/>
          <w:szCs w:val="32"/>
        </w:rPr>
      </w:pPr>
      <w:r>
        <w:rPr>
          <w:rFonts w:hint="eastAsia" w:ascii="仿宋" w:hAnsi="仿宋" w:eastAsia="仿宋"/>
          <w:color w:val="333333"/>
          <w:spacing w:val="8"/>
          <w:sz w:val="32"/>
          <w:szCs w:val="32"/>
        </w:rPr>
        <w:t xml:space="preserve">    随着大数据、人工智能、云计算等新技术的发展，单位迎来数字化与智能化的组织变革和管理变革，在这一数字经济发展浪潮中，单位财务部门及其管理人员正面临提升价值创造能力和决策支持能力的挑战与机遇。政府部门大力推进的管理会计体系和财务共享服务中心建设，将有效助力单位财务实现转型升级。为了帮助财务管理人员更好地提升能力、履行职责，帮助单位建设新一代共享中心和大数据平台，构建以战略引领、业财融合为特点的支撑企业发展的管理会计体系与集团财务管控体系，中国总会计师协会将举办数字智能时代财务转型、管理会计创新与财务共享等专题研讨活动。现将活动方案予以印发，请各单位积极做好相关人员的组织和报名工作。</w:t>
      </w:r>
    </w:p>
    <w:p>
      <w:pPr>
        <w:autoSpaceDN w:val="0"/>
        <w:spacing w:line="500" w:lineRule="exact"/>
        <w:ind w:left="-425" w:leftChars="-203" w:right="-483" w:rightChars="-230" w:hanging="1"/>
        <w:rPr>
          <w:rFonts w:ascii="仿宋" w:hAnsi="仿宋" w:eastAsia="仿宋"/>
          <w:color w:val="333333"/>
          <w:spacing w:val="8"/>
          <w:sz w:val="32"/>
          <w:szCs w:val="32"/>
        </w:rPr>
      </w:pPr>
      <w:r>
        <w:rPr>
          <w:rFonts w:hint="eastAsia" w:ascii="仿宋" w:hAnsi="仿宋" w:eastAsia="仿宋"/>
          <w:color w:val="333333"/>
          <w:spacing w:val="8"/>
          <w:sz w:val="32"/>
          <w:szCs w:val="32"/>
        </w:rPr>
        <w:t xml:space="preserve">     附件：</w:t>
      </w:r>
      <w:r>
        <w:rPr>
          <w:rFonts w:ascii="仿宋" w:hAnsi="仿宋" w:eastAsia="仿宋"/>
          <w:color w:val="333333"/>
          <w:spacing w:val="8"/>
          <w:sz w:val="32"/>
          <w:szCs w:val="32"/>
        </w:rPr>
        <w:t xml:space="preserve"> 1.</w:t>
      </w:r>
      <w:r>
        <w:rPr>
          <w:rFonts w:hint="eastAsia" w:ascii="仿宋" w:hAnsi="仿宋" w:eastAsia="仿宋"/>
          <w:color w:val="333333"/>
          <w:spacing w:val="8"/>
          <w:sz w:val="32"/>
          <w:szCs w:val="32"/>
        </w:rPr>
        <w:t>工作方案</w:t>
      </w:r>
    </w:p>
    <w:p>
      <w:pPr>
        <w:autoSpaceDN w:val="0"/>
        <w:spacing w:line="500" w:lineRule="exact"/>
        <w:ind w:left="-425" w:leftChars="-203" w:right="-483" w:rightChars="-230" w:hanging="1"/>
        <w:outlineLvl w:val="0"/>
        <w:rPr>
          <w:rFonts w:ascii="仿宋" w:hAnsi="仿宋" w:eastAsia="仿宋"/>
          <w:color w:val="333333"/>
          <w:spacing w:val="8"/>
          <w:sz w:val="32"/>
          <w:szCs w:val="32"/>
        </w:rPr>
      </w:pPr>
      <w:r>
        <w:rPr>
          <w:rFonts w:hint="eastAsia" w:ascii="仿宋" w:hAnsi="仿宋" w:eastAsia="仿宋"/>
          <w:color w:val="333333"/>
          <w:spacing w:val="8"/>
          <w:sz w:val="32"/>
          <w:szCs w:val="32"/>
        </w:rPr>
        <w:t xml:space="preserve">            2.报名回执表</w:t>
      </w:r>
    </w:p>
    <w:p>
      <w:pPr>
        <w:snapToGrid w:val="0"/>
        <w:spacing w:line="500" w:lineRule="exact"/>
        <w:ind w:left="-425" w:leftChars="-203" w:right="-483" w:rightChars="-230" w:hanging="1"/>
        <w:rPr>
          <w:rFonts w:ascii="仿宋" w:hAnsi="仿宋" w:eastAsia="仿宋"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r>
        <w:rPr>
          <w:rFonts w:hint="eastAsia" w:ascii="仿宋" w:hAnsi="仿宋" w:eastAsia="仿宋" w:cs="仿宋"/>
          <w:sz w:val="30"/>
          <w:szCs w:val="30"/>
        </w:rPr>
        <w:t>中国总会计师协会秘书处</w:t>
      </w:r>
    </w:p>
    <w:p>
      <w:pPr>
        <w:snapToGrid w:val="0"/>
        <w:spacing w:line="50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 xml:space="preserve">                                二</w:t>
      </w:r>
      <w:r>
        <w:rPr>
          <w:rFonts w:ascii="仿宋" w:hAnsi="仿宋" w:eastAsia="仿宋" w:cs="仿宋"/>
          <w:sz w:val="30"/>
          <w:szCs w:val="30"/>
        </w:rPr>
        <w:t>O</w:t>
      </w:r>
      <w:r>
        <w:rPr>
          <w:rFonts w:hint="eastAsia" w:ascii="仿宋" w:hAnsi="仿宋" w:eastAsia="仿宋" w:cs="仿宋"/>
          <w:sz w:val="30"/>
          <w:szCs w:val="30"/>
        </w:rPr>
        <w:t>一九年五月二十一日</w:t>
      </w:r>
    </w:p>
    <w:p>
      <w:pPr>
        <w:spacing w:line="400" w:lineRule="exact"/>
        <w:ind w:left="-425" w:leftChars="-203" w:right="-483" w:rightChars="-230" w:hanging="1"/>
        <w:rPr>
          <w:b/>
          <w:color w:val="FF0000"/>
          <w:sz w:val="76"/>
          <w:szCs w:val="76"/>
        </w:rPr>
      </w:pPr>
    </w:p>
    <w:p>
      <w:pPr>
        <w:spacing w:line="400" w:lineRule="exact"/>
        <w:ind w:left="-425" w:leftChars="-203" w:right="-483" w:rightChars="-230" w:hanging="1"/>
        <w:rPr>
          <w:b/>
          <w:color w:val="FF0000"/>
          <w:sz w:val="76"/>
          <w:szCs w:val="76"/>
        </w:rPr>
      </w:pPr>
    </w:p>
    <w:p>
      <w:pPr>
        <w:spacing w:line="420" w:lineRule="exact"/>
        <w:ind w:left="-425" w:leftChars="-203" w:right="-483" w:rightChars="-230" w:hanging="1"/>
        <w:rPr>
          <w:rFonts w:ascii="仿宋_GB2312" w:hAnsi="宋体" w:eastAsia="仿宋_GB2312" w:cs="仿宋"/>
          <w:sz w:val="28"/>
          <w:szCs w:val="28"/>
        </w:rPr>
      </w:pPr>
      <w:r>
        <w:rPr>
          <w:rFonts w:hint="eastAsia" w:ascii="仿宋_GB2312" w:hAnsi="宋体" w:eastAsia="仿宋_GB2312" w:cs="仿宋"/>
          <w:sz w:val="28"/>
          <w:szCs w:val="28"/>
        </w:rPr>
        <w:t>附件</w:t>
      </w:r>
      <w:r>
        <w:rPr>
          <w:rFonts w:ascii="仿宋_GB2312" w:hAnsi="宋体" w:eastAsia="仿宋_GB2312" w:cs="仿宋"/>
          <w:sz w:val="28"/>
          <w:szCs w:val="28"/>
        </w:rPr>
        <w:t>1</w:t>
      </w:r>
      <w:r>
        <w:rPr>
          <w:rFonts w:hint="eastAsia" w:ascii="仿宋_GB2312" w:hAnsi="宋体" w:eastAsia="仿宋_GB2312" w:cs="仿宋"/>
          <w:sz w:val="28"/>
          <w:szCs w:val="28"/>
        </w:rPr>
        <w:t>：</w:t>
      </w:r>
    </w:p>
    <w:p>
      <w:pPr>
        <w:spacing w:line="500" w:lineRule="exact"/>
        <w:ind w:left="-425" w:leftChars="-203" w:right="-483" w:rightChars="-230" w:hanging="1"/>
        <w:jc w:val="center"/>
        <w:rPr>
          <w:rFonts w:cs="黑体"/>
          <w:b/>
          <w:bCs/>
          <w:kern w:val="10"/>
          <w:sz w:val="32"/>
          <w:szCs w:val="32"/>
        </w:rPr>
      </w:pPr>
      <w:r>
        <w:rPr>
          <w:rFonts w:hint="eastAsia" w:cs="黑体"/>
          <w:b/>
          <w:bCs/>
          <w:kern w:val="10"/>
          <w:sz w:val="32"/>
          <w:szCs w:val="32"/>
        </w:rPr>
        <w:t>“数字智能时代财务转型、管理会计创新</w:t>
      </w:r>
    </w:p>
    <w:p>
      <w:pPr>
        <w:spacing w:line="420" w:lineRule="exact"/>
        <w:ind w:left="-425" w:leftChars="-203" w:right="-483" w:rightChars="-230" w:hanging="1"/>
        <w:jc w:val="center"/>
        <w:rPr>
          <w:rFonts w:ascii="宋体" w:hAnsi="宋体" w:cs="黑体"/>
          <w:b/>
          <w:bCs/>
          <w:kern w:val="10"/>
          <w:sz w:val="32"/>
          <w:szCs w:val="32"/>
        </w:rPr>
      </w:pPr>
      <w:r>
        <w:rPr>
          <w:rFonts w:hint="eastAsia" w:cs="黑体"/>
          <w:b/>
          <w:bCs/>
          <w:kern w:val="10"/>
          <w:sz w:val="32"/>
          <w:szCs w:val="32"/>
        </w:rPr>
        <w:t>与财务共享”</w:t>
      </w:r>
      <w:r>
        <w:rPr>
          <w:rFonts w:hint="eastAsia" w:ascii="宋体" w:hAnsi="宋体" w:cs="黑体"/>
          <w:b/>
          <w:bCs/>
          <w:kern w:val="10"/>
          <w:sz w:val="32"/>
          <w:szCs w:val="32"/>
        </w:rPr>
        <w:t>专题研讨活动</w:t>
      </w:r>
      <w:r>
        <w:rPr>
          <w:rFonts w:hint="eastAsia" w:ascii="宋体" w:hAnsi="宋体" w:cs="仿宋"/>
          <w:b/>
          <w:sz w:val="32"/>
          <w:szCs w:val="32"/>
        </w:rPr>
        <w:t>工作方案</w:t>
      </w:r>
    </w:p>
    <w:p>
      <w:pPr>
        <w:spacing w:before="468" w:beforeLines="150" w:line="42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主办单位：中国总会计师协会</w:t>
      </w:r>
    </w:p>
    <w:p>
      <w:pPr>
        <w:spacing w:after="156" w:afterLines="50" w:line="42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承办单位：《中国总会计师》杂志社</w:t>
      </w:r>
    </w:p>
    <w:p>
      <w:pPr>
        <w:widowControl/>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一、时间地点</w:t>
      </w:r>
    </w:p>
    <w:p>
      <w:pPr>
        <w:spacing w:line="440" w:lineRule="exact"/>
        <w:ind w:left="-425" w:leftChars="-203" w:right="-483" w:rightChars="-230" w:hanging="1"/>
        <w:rPr>
          <w:rFonts w:ascii="仿宋_GB2312" w:hAnsi="宋体" w:eastAsia="仿宋_GB2312" w:cs="仿宋"/>
          <w:b/>
          <w:sz w:val="28"/>
          <w:szCs w:val="28"/>
        </w:rPr>
      </w:pPr>
      <w:r>
        <w:rPr>
          <w:rFonts w:hint="eastAsia" w:ascii="仿宋" w:hAnsi="仿宋" w:eastAsia="仿宋" w:cs="仿宋"/>
          <w:b/>
          <w:sz w:val="28"/>
          <w:szCs w:val="28"/>
        </w:rPr>
        <w:t>专题一：数字智能时代财务转型、业财融合与财务管控</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时间：</w:t>
      </w:r>
      <w:r>
        <w:rPr>
          <w:rFonts w:ascii="仿宋" w:hAnsi="仿宋" w:eastAsia="仿宋" w:cs="仿宋"/>
          <w:sz w:val="28"/>
          <w:szCs w:val="28"/>
        </w:rPr>
        <w:t>201</w:t>
      </w:r>
      <w:r>
        <w:rPr>
          <w:rFonts w:hint="eastAsia" w:ascii="仿宋" w:hAnsi="仿宋" w:eastAsia="仿宋" w:cs="仿宋"/>
          <w:sz w:val="28"/>
          <w:szCs w:val="28"/>
        </w:rPr>
        <w:t>9年7月16日</w:t>
      </w:r>
      <w:r>
        <w:rPr>
          <w:rFonts w:ascii="仿宋" w:hAnsi="仿宋" w:eastAsia="仿宋" w:cs="仿宋"/>
          <w:sz w:val="28"/>
          <w:szCs w:val="28"/>
        </w:rPr>
        <w:t>—</w:t>
      </w:r>
      <w:r>
        <w:rPr>
          <w:rFonts w:hint="eastAsia" w:ascii="仿宋" w:hAnsi="仿宋" w:eastAsia="仿宋" w:cs="仿宋"/>
          <w:sz w:val="28"/>
          <w:szCs w:val="28"/>
        </w:rPr>
        <w:t>20日</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地点：北京市</w:t>
      </w:r>
    </w:p>
    <w:p>
      <w:pPr>
        <w:spacing w:line="440" w:lineRule="exact"/>
        <w:ind w:left="-425" w:leftChars="-203" w:right="-483" w:rightChars="-230" w:hanging="1"/>
        <w:rPr>
          <w:rFonts w:ascii="仿宋" w:hAnsi="仿宋" w:eastAsia="仿宋" w:cs="仿宋"/>
          <w:b/>
          <w:sz w:val="28"/>
          <w:szCs w:val="28"/>
        </w:rPr>
      </w:pPr>
      <w:r>
        <w:rPr>
          <w:rFonts w:hint="eastAsia" w:ascii="仿宋" w:hAnsi="仿宋" w:eastAsia="仿宋" w:cs="仿宋"/>
          <w:b/>
          <w:sz w:val="28"/>
          <w:szCs w:val="28"/>
        </w:rPr>
        <w:t>专题二: 预算、成本与新时代管理会计框架体系及其创新实践</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时间：2019年8月18日—22日</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地点：哈尔滨市</w:t>
      </w:r>
    </w:p>
    <w:p>
      <w:pPr>
        <w:spacing w:line="440" w:lineRule="exact"/>
        <w:ind w:left="-425" w:leftChars="-203" w:right="-483" w:rightChars="-230" w:hanging="1"/>
        <w:rPr>
          <w:rFonts w:ascii="仿宋" w:hAnsi="仿宋" w:eastAsia="仿宋" w:cs="仿宋"/>
          <w:b/>
          <w:sz w:val="28"/>
          <w:szCs w:val="28"/>
        </w:rPr>
      </w:pPr>
      <w:r>
        <w:rPr>
          <w:rFonts w:hint="eastAsia" w:ascii="仿宋" w:hAnsi="仿宋" w:eastAsia="仿宋" w:cs="仿宋"/>
          <w:b/>
          <w:sz w:val="28"/>
          <w:szCs w:val="28"/>
        </w:rPr>
        <w:t>专题三: 数字智能时代的财务共享中心建设、运营与提升</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时间：2019年9月22日—26日</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地点：北京市</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（具体地址开会前十天见报到通知）</w:t>
      </w:r>
    </w:p>
    <w:p>
      <w:pPr>
        <w:spacing w:line="120" w:lineRule="exact"/>
        <w:ind w:left="-425" w:leftChars="-203" w:right="-483" w:rightChars="-230" w:hanging="1"/>
        <w:rPr>
          <w:rFonts w:ascii="仿宋_GB2312" w:hAnsi="宋体" w:eastAsia="仿宋_GB2312" w:cs="仿宋"/>
          <w:sz w:val="28"/>
          <w:szCs w:val="28"/>
        </w:rPr>
      </w:pPr>
    </w:p>
    <w:p>
      <w:pPr>
        <w:pStyle w:val="37"/>
        <w:numPr>
          <w:ilvl w:val="0"/>
          <w:numId w:val="1"/>
        </w:numPr>
        <w:spacing w:line="440" w:lineRule="exact"/>
        <w:ind w:right="-483" w:rightChars="-230" w:firstLineChars="0"/>
        <w:jc w:val="left"/>
        <w:rPr>
          <w:rFonts w:ascii="仿宋" w:hAnsi="仿宋" w:eastAsia="仿宋" w:cs="仿宋"/>
          <w:b/>
          <w:bCs/>
          <w:sz w:val="28"/>
          <w:szCs w:val="28"/>
        </w:rPr>
      </w:pPr>
      <w:r>
        <w:rPr>
          <w:rFonts w:hint="eastAsia" w:ascii="仿宋" w:hAnsi="仿宋" w:eastAsia="仿宋" w:cs="仿宋"/>
          <w:b/>
          <w:bCs/>
          <w:sz w:val="28"/>
          <w:szCs w:val="28"/>
        </w:rPr>
        <w:t>参会对象</w:t>
      </w:r>
    </w:p>
    <w:p>
      <w:pPr>
        <w:spacing w:line="440" w:lineRule="exact"/>
        <w:ind w:left="-425" w:leftChars="-203" w:right="-483" w:rightChars="-230" w:hanging="1"/>
        <w:rPr>
          <w:rFonts w:ascii="仿宋_GB2312" w:hAnsi="宋体" w:eastAsia="仿宋_GB2312" w:cs="仿宋"/>
          <w:b/>
          <w:bCs/>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政府机关、企事业单位总会计师、财务总监、首席财务官、财务部门负责人；财务和税务经理、主管等；财务</w:t>
      </w:r>
      <w:r>
        <w:rPr>
          <w:rFonts w:ascii="仿宋" w:hAnsi="仿宋" w:eastAsia="仿宋" w:cs="仿宋"/>
          <w:sz w:val="28"/>
          <w:szCs w:val="28"/>
        </w:rPr>
        <w:t>/</w:t>
      </w:r>
      <w:r>
        <w:rPr>
          <w:rFonts w:hint="eastAsia" w:ascii="仿宋" w:hAnsi="仿宋" w:eastAsia="仿宋" w:cs="仿宋"/>
          <w:sz w:val="28"/>
          <w:szCs w:val="28"/>
        </w:rPr>
        <w:t>会计共享服务中心相关负责人、信息化负责人、人力资源部负责人；财会、税务、审计人员，投资分析与研究人员等；投资部、证券部相关负责人等；中国总会计师协会会员、会计师事务所</w:t>
      </w:r>
      <w:r>
        <w:rPr>
          <w:rFonts w:ascii="仿宋" w:hAnsi="仿宋" w:eastAsia="仿宋" w:cs="仿宋"/>
          <w:sz w:val="28"/>
          <w:szCs w:val="28"/>
        </w:rPr>
        <w:t>CPA</w:t>
      </w:r>
      <w:r>
        <w:rPr>
          <w:rFonts w:hint="eastAsia" w:ascii="仿宋" w:hAnsi="仿宋" w:eastAsia="仿宋" w:cs="仿宋"/>
          <w:sz w:val="28"/>
          <w:szCs w:val="28"/>
        </w:rPr>
        <w:t>、咨询师；金融行业金融分析师、风险控制师；大中专院校会计专业教师；需要加强会计知识学习和提升的各单位主要负责人等</w:t>
      </w:r>
    </w:p>
    <w:p>
      <w:pPr>
        <w:spacing w:line="120" w:lineRule="exact"/>
        <w:ind w:left="-425" w:leftChars="-203" w:right="-483" w:rightChars="-230" w:hanging="1"/>
        <w:rPr>
          <w:rFonts w:ascii="仿宋_GB2312" w:hAnsi="宋体" w:eastAsia="仿宋_GB2312" w:cs="仿宋"/>
          <w:sz w:val="28"/>
          <w:szCs w:val="28"/>
        </w:rPr>
      </w:pPr>
    </w:p>
    <w:p>
      <w:pPr>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三、研讨内容</w:t>
      </w:r>
    </w:p>
    <w:p>
      <w:pPr>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专题一：数字</w:t>
      </w:r>
      <w:r>
        <w:rPr>
          <w:rFonts w:hint="eastAsia" w:ascii="仿宋" w:hAnsi="仿宋" w:eastAsia="仿宋" w:cs="仿宋"/>
          <w:b/>
          <w:sz w:val="28"/>
          <w:szCs w:val="28"/>
        </w:rPr>
        <w:t>智能时代财务转型、业财融合与财务管控</w:t>
      </w:r>
    </w:p>
    <w:p>
      <w:pPr>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（一）数字智能时代的财务转型</w:t>
      </w:r>
    </w:p>
    <w:p>
      <w:pPr>
        <w:spacing w:line="440" w:lineRule="exact"/>
        <w:ind w:left="-426" w:leftChars="-203" w:right="-483" w:rightChars="-230"/>
        <w:jc w:val="left"/>
        <w:rPr>
          <w:rFonts w:ascii="仿宋" w:hAnsi="仿宋" w:eastAsia="仿宋" w:cs="仿宋"/>
          <w:b/>
          <w:bCs/>
          <w:sz w:val="28"/>
          <w:szCs w:val="28"/>
        </w:rPr>
      </w:pPr>
      <w:r>
        <w:rPr>
          <w:rFonts w:hint="eastAsia" w:ascii="仿宋" w:hAnsi="仿宋" w:eastAsia="仿宋" w:cs="仿宋"/>
          <w:b/>
          <w:bCs/>
          <w:sz w:val="28"/>
          <w:szCs w:val="28"/>
        </w:rPr>
        <w:t>1、财务转型的方向</w:t>
      </w:r>
    </w:p>
    <w:p>
      <w:pPr>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财务转型设计框架与大财务理念；从关注报表生成到关注管理决策需求；从核算型财务走向业务型财务与战略型财务；从关注资金的流动性走向资金的投融资运作与战略层面的司库管理</w:t>
      </w:r>
    </w:p>
    <w:p>
      <w:pPr>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2、管理会计+信息化，推动财务管理转型</w:t>
      </w:r>
    </w:p>
    <w:p>
      <w:pPr>
        <w:spacing w:line="440" w:lineRule="exact"/>
        <w:ind w:left="-426" w:leftChars="-203" w:right="-483" w:rightChars="-230"/>
        <w:jc w:val="left"/>
        <w:rPr>
          <w:rFonts w:ascii="仿宋" w:hAnsi="仿宋" w:eastAsia="仿宋"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“互联网</w:t>
      </w:r>
      <w:r>
        <w:rPr>
          <w:rFonts w:ascii="仿宋" w:hAnsi="仿宋" w:eastAsia="仿宋" w:cs="仿宋"/>
          <w:sz w:val="28"/>
          <w:szCs w:val="28"/>
        </w:rPr>
        <w:t>+</w:t>
      </w:r>
      <w:r>
        <w:rPr>
          <w:rFonts w:hint="eastAsia" w:ascii="仿宋" w:hAnsi="仿宋" w:eastAsia="仿宋" w:cs="仿宋"/>
          <w:sz w:val="28"/>
          <w:szCs w:val="28"/>
        </w:rPr>
        <w:t>”对管理会计体系的冲击和融合；大数据、云计算等新技术与管理会计的关系；全面整合企业信息、真正实现业财一体化的管理会计信息系统；预测、计划预算、报告一体化的信息化平台的搭建与利用；财务分析与绩效考核在管理会计软件平台上的实现</w:t>
      </w:r>
    </w:p>
    <w:p>
      <w:pPr>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（二）智能财务建设与财务转型</w:t>
      </w:r>
    </w:p>
    <w:p>
      <w:pPr>
        <w:spacing w:line="440" w:lineRule="exact"/>
        <w:ind w:left="-426" w:leftChars="-203" w:right="-483" w:rightChars="-230"/>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信息化助力财务体系数字化与智能化；财务信息化发展与财务大数据价值；大数据时代组织变革与管理创新；智能财务项目规划、建设过程与难点以及若干案例分析；管理会计智能化展望；智能财务与大数据最佳实施案例；大数据应用前沿</w:t>
      </w:r>
    </w:p>
    <w:p>
      <w:pPr>
        <w:widowControl/>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（三）财务转型与财务共享服务</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b/>
          <w:bCs/>
          <w:sz w:val="28"/>
          <w:szCs w:val="28"/>
        </w:rPr>
        <w:t xml:space="preserve"> </w:t>
      </w:r>
      <w:r>
        <w:rPr>
          <w:rFonts w:hint="eastAsia" w:ascii="仿宋_GB2312" w:hAnsi="宋体" w:eastAsia="仿宋_GB2312" w:cs="仿宋"/>
          <w:sz w:val="28"/>
          <w:szCs w:val="28"/>
        </w:rPr>
        <w:t xml:space="preserve">    </w:t>
      </w:r>
      <w:r>
        <w:rPr>
          <w:rFonts w:hint="eastAsia" w:ascii="仿宋" w:hAnsi="仿宋" w:eastAsia="仿宋" w:cs="仿宋"/>
          <w:sz w:val="28"/>
          <w:szCs w:val="28"/>
        </w:rPr>
        <w:t>以共享服务为基础的财务转型，共享服务中心的建设、运营与提升</w:t>
      </w:r>
    </w:p>
    <w:p>
      <w:pPr>
        <w:widowControl/>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（四）财务转型的能力素质要求与提升</w:t>
      </w: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sz w:val="28"/>
          <w:szCs w:val="28"/>
        </w:rPr>
        <w:t xml:space="preserve">    财务组织从核算型转向管理决策型组织；财务人员从核算型人才转向决策支持与执行人员；财务管理如何适应财务体系数字化和智能化</w:t>
      </w:r>
    </w:p>
    <w:p>
      <w:pPr>
        <w:widowControl/>
        <w:spacing w:line="440" w:lineRule="exact"/>
        <w:ind w:left="-426" w:leftChars="-203" w:right="-483" w:rightChars="-230"/>
        <w:jc w:val="left"/>
        <w:rPr>
          <w:rFonts w:ascii="仿宋" w:hAnsi="仿宋" w:eastAsia="仿宋" w:cs="仿宋"/>
          <w:b/>
          <w:sz w:val="28"/>
          <w:szCs w:val="28"/>
        </w:rPr>
      </w:pPr>
      <w:r>
        <w:rPr>
          <w:rFonts w:hint="eastAsia" w:ascii="仿宋" w:hAnsi="仿宋" w:eastAsia="仿宋" w:cs="仿宋"/>
          <w:b/>
          <w:bCs/>
          <w:sz w:val="28"/>
          <w:szCs w:val="28"/>
        </w:rPr>
        <w:t>3</w:t>
      </w:r>
      <w:r>
        <w:rPr>
          <w:rFonts w:hint="eastAsia" w:ascii="仿宋" w:hAnsi="仿宋" w:eastAsia="仿宋" w:cs="仿宋"/>
          <w:b/>
          <w:sz w:val="28"/>
          <w:szCs w:val="28"/>
        </w:rPr>
        <w:t>、数字智能背景下的业财融合：从“管控型”走向“价值引领型”</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经营分析支持决策领域业财融合（盈利能力分析，营运能力分析，现金流分析与周转率，业务预测、分析，成本管理和优化，成本控制创造价值）</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资源配置预测监控业财融合（预算的预算编制、控制、分解与执行，预算监控、考核和激励</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合规与风险控制</w:t>
      </w:r>
      <w:r>
        <w:rPr>
          <w:rFonts w:hint="eastAsia" w:ascii="仿宋" w:hAnsi="仿宋" w:eastAsia="仿宋" w:cs="仿宋"/>
          <w:color w:val="auto"/>
          <w:kern w:val="2"/>
          <w:sz w:val="28"/>
          <w:szCs w:val="28"/>
        </w:rPr>
        <w:t>）</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绩效管理领域实现业财融合</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企业绩效管理指标体系的类型</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平衡</w:t>
      </w:r>
      <w:r>
        <w:rPr>
          <w:rFonts w:hint="eastAsia" w:ascii="仿宋" w:hAnsi="仿宋" w:eastAsia="仿宋" w:cs="仿宋"/>
          <w:color w:val="auto"/>
          <w:kern w:val="2"/>
          <w:sz w:val="28"/>
          <w:szCs w:val="28"/>
        </w:rPr>
        <w:t>计</w:t>
      </w:r>
      <w:r>
        <w:rPr>
          <w:rFonts w:ascii="仿宋" w:hAnsi="仿宋" w:eastAsia="仿宋" w:cs="仿宋"/>
          <w:color w:val="auto"/>
          <w:kern w:val="2"/>
          <w:sz w:val="28"/>
          <w:szCs w:val="28"/>
        </w:rPr>
        <w:t>分卡在企业绩效管理中的应用</w:t>
      </w:r>
      <w:r>
        <w:rPr>
          <w:rFonts w:hint="eastAsia" w:ascii="仿宋" w:hAnsi="仿宋" w:eastAsia="仿宋" w:cs="仿宋"/>
          <w:color w:val="auto"/>
          <w:kern w:val="2"/>
          <w:sz w:val="28"/>
          <w:szCs w:val="28"/>
        </w:rPr>
        <w:t>）</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引领企业发展领域实现业财融合</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前瞻性的业务规划与财务预测</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财务从“管控型”走向“引领型”</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发现价值领域，引领价值导向的文化</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利用财务资源，创新经营模式以提升业务绩效）</w:t>
      </w:r>
    </w:p>
    <w:p>
      <w:pPr>
        <w:widowControl/>
        <w:spacing w:line="440" w:lineRule="exact"/>
        <w:ind w:left="-426" w:leftChars="-203" w:right="-483" w:rightChars="-230"/>
        <w:jc w:val="left"/>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转型时代的</w:t>
      </w:r>
      <w:r>
        <w:rPr>
          <w:rFonts w:hint="eastAsia" w:ascii="仿宋" w:hAnsi="仿宋" w:eastAsia="仿宋" w:cs="黑体"/>
          <w:b/>
          <w:kern w:val="10"/>
          <w:sz w:val="28"/>
          <w:szCs w:val="28"/>
        </w:rPr>
        <w:t>财务管控与优化</w:t>
      </w:r>
    </w:p>
    <w:p>
      <w:pPr>
        <w:spacing w:line="460" w:lineRule="exact"/>
        <w:ind w:left="-426" w:leftChars="-203"/>
        <w:jc w:val="left"/>
        <w:rPr>
          <w:rFonts w:ascii="仿宋" w:hAnsi="仿宋" w:eastAsia="仿宋" w:cs="仿宋"/>
          <w:sz w:val="28"/>
          <w:szCs w:val="28"/>
          <w:lang w:val="zh-CN"/>
        </w:rPr>
      </w:pPr>
      <w:r>
        <w:rPr>
          <w:rFonts w:hint="eastAsia" w:ascii="仿宋" w:hAnsi="仿宋" w:eastAsia="仿宋" w:cs="仿宋"/>
          <w:sz w:val="28"/>
          <w:szCs w:val="28"/>
          <w:lang w:val="zh-CN"/>
        </w:rPr>
        <w:t xml:space="preserve">    集团财务管控思路与转型方向；</w:t>
      </w:r>
      <w:r>
        <w:rPr>
          <w:rFonts w:hint="eastAsia" w:ascii="仿宋" w:hAnsi="仿宋" w:eastAsia="仿宋" w:cs="仿宋"/>
          <w:bCs/>
          <w:sz w:val="28"/>
          <w:szCs w:val="28"/>
        </w:rPr>
        <w:t>财务、战略、业务与集团管控</w:t>
      </w:r>
      <w:r>
        <w:rPr>
          <w:rFonts w:hint="eastAsia" w:ascii="仿宋" w:hAnsi="仿宋" w:eastAsia="仿宋" w:cs="仿宋"/>
          <w:sz w:val="28"/>
          <w:szCs w:val="28"/>
          <w:lang w:val="zh-CN"/>
        </w:rPr>
        <w:t>；</w:t>
      </w:r>
      <w:r>
        <w:rPr>
          <w:rFonts w:hint="eastAsia" w:ascii="仿宋" w:hAnsi="仿宋" w:eastAsia="仿宋" w:cs="仿宋"/>
          <w:bCs/>
          <w:sz w:val="28"/>
          <w:szCs w:val="28"/>
        </w:rPr>
        <w:t>集团预算、考核与报告系统</w:t>
      </w:r>
      <w:r>
        <w:rPr>
          <w:rFonts w:hint="eastAsia" w:ascii="仿宋" w:hAnsi="仿宋" w:eastAsia="仿宋" w:cs="仿宋"/>
          <w:sz w:val="28"/>
          <w:szCs w:val="28"/>
          <w:lang w:val="zh-CN"/>
        </w:rPr>
        <w:t>；</w:t>
      </w:r>
      <w:r>
        <w:rPr>
          <w:rFonts w:hint="eastAsia" w:ascii="仿宋" w:hAnsi="仿宋" w:eastAsia="仿宋" w:cs="仿宋"/>
          <w:bCs/>
          <w:sz w:val="28"/>
          <w:szCs w:val="28"/>
        </w:rPr>
        <w:t>集团财务信息系统</w:t>
      </w:r>
      <w:r>
        <w:rPr>
          <w:rFonts w:hint="eastAsia" w:ascii="仿宋" w:hAnsi="仿宋" w:eastAsia="仿宋" w:cs="仿宋"/>
          <w:sz w:val="28"/>
          <w:szCs w:val="28"/>
          <w:lang w:val="zh-CN"/>
        </w:rPr>
        <w:t>；</w:t>
      </w:r>
      <w:r>
        <w:rPr>
          <w:rFonts w:hint="eastAsia" w:ascii="仿宋" w:hAnsi="仿宋" w:eastAsia="仿宋" w:cs="仿宋"/>
          <w:bCs/>
          <w:sz w:val="28"/>
          <w:szCs w:val="28"/>
        </w:rPr>
        <w:t>集团资金、资产、投融资、成本、费用等管控</w:t>
      </w:r>
      <w:r>
        <w:rPr>
          <w:rFonts w:hint="eastAsia" w:ascii="仿宋" w:hAnsi="仿宋" w:eastAsia="仿宋" w:cs="仿宋"/>
          <w:sz w:val="28"/>
          <w:szCs w:val="28"/>
          <w:lang w:val="zh-CN"/>
        </w:rPr>
        <w:t>；</w:t>
      </w:r>
      <w:r>
        <w:rPr>
          <w:rFonts w:hint="eastAsia" w:ascii="仿宋" w:hAnsi="仿宋" w:eastAsia="仿宋" w:cs="仿宋"/>
          <w:bCs/>
          <w:sz w:val="28"/>
          <w:szCs w:val="28"/>
        </w:rPr>
        <w:t>集团公司内部交易设计</w:t>
      </w:r>
      <w:r>
        <w:rPr>
          <w:rFonts w:hint="eastAsia" w:ascii="仿宋" w:hAnsi="仿宋" w:eastAsia="仿宋" w:cs="仿宋"/>
          <w:sz w:val="28"/>
          <w:szCs w:val="28"/>
          <w:lang w:val="zh-CN"/>
        </w:rPr>
        <w:t>；</w:t>
      </w:r>
      <w:r>
        <w:rPr>
          <w:rFonts w:hint="eastAsia" w:ascii="仿宋" w:hAnsi="仿宋" w:eastAsia="仿宋" w:cs="仿宋"/>
          <w:bCs/>
          <w:sz w:val="28"/>
          <w:szCs w:val="28"/>
        </w:rPr>
        <w:t>集团财务管控体系的实施策略</w:t>
      </w:r>
    </w:p>
    <w:p>
      <w:pPr>
        <w:spacing w:line="120" w:lineRule="exact"/>
        <w:ind w:left="-426" w:leftChars="-203" w:right="-483" w:rightChars="-230"/>
        <w:rPr>
          <w:rFonts w:ascii="仿宋_GB2312" w:hAnsi="宋体" w:eastAsia="仿宋_GB2312" w:cs="仿宋"/>
          <w:sz w:val="28"/>
          <w:szCs w:val="28"/>
        </w:rPr>
      </w:pP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b/>
          <w:sz w:val="28"/>
          <w:szCs w:val="28"/>
        </w:rPr>
        <w:t>专题二：预算、成本与新时代管理会计框架体系及其创新实践</w:t>
      </w:r>
    </w:p>
    <w:p>
      <w:pPr>
        <w:pStyle w:val="38"/>
        <w:spacing w:line="460" w:lineRule="exact"/>
        <w:ind w:left="-426" w:leftChars="-203" w:right="-57" w:rightChars="-27"/>
        <w:rPr>
          <w:rFonts w:ascii="仿宋" w:hAnsi="仿宋" w:eastAsia="仿宋" w:cs="仿宋"/>
          <w:b/>
          <w:color w:val="auto"/>
          <w:kern w:val="2"/>
          <w:sz w:val="28"/>
          <w:szCs w:val="28"/>
        </w:rPr>
      </w:pPr>
      <w:r>
        <w:rPr>
          <w:rFonts w:hint="eastAsia" w:ascii="仿宋" w:hAnsi="仿宋" w:eastAsia="仿宋" w:cs="仿宋"/>
          <w:b/>
          <w:color w:val="auto"/>
          <w:kern w:val="2"/>
          <w:sz w:val="28"/>
          <w:szCs w:val="28"/>
        </w:rPr>
        <w:t>1、</w:t>
      </w:r>
      <w:r>
        <w:rPr>
          <w:rFonts w:ascii="仿宋" w:hAnsi="仿宋" w:eastAsia="仿宋" w:cs="仿宋"/>
          <w:b/>
          <w:color w:val="auto"/>
          <w:kern w:val="2"/>
          <w:sz w:val="28"/>
          <w:szCs w:val="28"/>
        </w:rPr>
        <w:t>全面预算管理体系及其信息化</w:t>
      </w:r>
    </w:p>
    <w:p>
      <w:pPr>
        <w:pStyle w:val="38"/>
        <w:spacing w:line="460" w:lineRule="exact"/>
        <w:ind w:left="-426" w:leftChars="-203" w:right="-57" w:rightChars="-27"/>
        <w:rPr>
          <w:rFonts w:ascii="仿宋" w:hAnsi="仿宋" w:eastAsia="仿宋" w:cs="仿宋"/>
          <w:bCs/>
          <w:color w:val="auto"/>
          <w:kern w:val="2"/>
          <w:sz w:val="28"/>
          <w:szCs w:val="28"/>
        </w:rPr>
      </w:pPr>
      <w:r>
        <w:rPr>
          <w:rFonts w:hint="eastAsia" w:ascii="仿宋" w:hAnsi="仿宋" w:eastAsia="仿宋" w:cs="仿宋"/>
          <w:bCs/>
          <w:color w:val="auto"/>
          <w:kern w:val="2"/>
          <w:sz w:val="28"/>
          <w:szCs w:val="28"/>
        </w:rPr>
        <w:t xml:space="preserve">    预算作为计划与控制系统在企业应用中的关键节点，不同部门在预算管理体系中的职责定位；通过预算管理体系实现业务运营管控的有效机制，以及在不同业务和不同企业应用的方式；预算管理与信息化</w:t>
      </w:r>
    </w:p>
    <w:p>
      <w:pPr>
        <w:pStyle w:val="38"/>
        <w:spacing w:line="460" w:lineRule="exact"/>
        <w:ind w:left="-426" w:leftChars="-203" w:right="-57" w:rightChars="-27"/>
        <w:rPr>
          <w:rFonts w:ascii="仿宋" w:hAnsi="仿宋" w:eastAsia="仿宋" w:cs="仿宋"/>
          <w:bCs/>
          <w:color w:val="auto"/>
          <w:kern w:val="2"/>
          <w:sz w:val="28"/>
          <w:szCs w:val="28"/>
        </w:rPr>
      </w:pPr>
      <w:r>
        <w:rPr>
          <w:rFonts w:hint="eastAsia" w:ascii="仿宋" w:hAnsi="仿宋" w:eastAsia="仿宋" w:cs="仿宋"/>
          <w:b/>
          <w:color w:val="auto"/>
          <w:kern w:val="2"/>
          <w:sz w:val="28"/>
          <w:szCs w:val="28"/>
        </w:rPr>
        <w:t>2、成本分析与决策管理</w:t>
      </w:r>
    </w:p>
    <w:p>
      <w:pPr>
        <w:pStyle w:val="7"/>
        <w:spacing w:before="0" w:beforeAutospacing="0" w:after="0" w:afterAutospacing="0" w:line="460" w:lineRule="exact"/>
        <w:ind w:left="-426" w:leftChars="-203"/>
        <w:textAlignment w:val="center"/>
        <w:rPr>
          <w:rFonts w:ascii="仿宋" w:hAnsi="仿宋" w:eastAsia="仿宋" w:cs="仿宋"/>
          <w:bCs/>
          <w:kern w:val="2"/>
          <w:sz w:val="28"/>
          <w:szCs w:val="28"/>
        </w:rPr>
      </w:pPr>
      <w:r>
        <w:rPr>
          <w:rFonts w:hint="eastAsia" w:ascii="仿宋" w:hAnsi="仿宋" w:eastAsia="仿宋" w:cs="仿宋"/>
          <w:bCs/>
          <w:kern w:val="2"/>
          <w:sz w:val="28"/>
          <w:szCs w:val="28"/>
        </w:rPr>
        <w:t xml:space="preserve">    商业环境变革，传统成本管理困境，现代企业成本管理理论框架，企业战略定位，企业内外部价值链分析，结构性成本动因，执行性成本动因，本量利分析，作业成本——产品和作业分析，目标成本——以市场和客户为导向，供应链成本和供应商管理</w:t>
      </w:r>
    </w:p>
    <w:p>
      <w:pPr>
        <w:pStyle w:val="38"/>
        <w:spacing w:line="460" w:lineRule="exact"/>
        <w:ind w:left="-426" w:leftChars="-203" w:right="-57" w:rightChars="-27"/>
        <w:rPr>
          <w:rFonts w:ascii="仿宋" w:hAnsi="仿宋" w:eastAsia="仿宋" w:cs="仿宋"/>
          <w:b/>
          <w:color w:val="auto"/>
          <w:kern w:val="2"/>
          <w:sz w:val="28"/>
          <w:szCs w:val="28"/>
        </w:rPr>
      </w:pPr>
      <w:r>
        <w:rPr>
          <w:rFonts w:hint="eastAsia" w:ascii="仿宋" w:hAnsi="仿宋" w:eastAsia="仿宋" w:cs="仿宋"/>
          <w:b/>
          <w:color w:val="auto"/>
          <w:kern w:val="2"/>
          <w:sz w:val="28"/>
          <w:szCs w:val="28"/>
        </w:rPr>
        <w:t>3、管理会计框架体系及其创新实践</w:t>
      </w:r>
    </w:p>
    <w:p>
      <w:pPr>
        <w:pStyle w:val="38"/>
        <w:spacing w:line="460" w:lineRule="exact"/>
        <w:ind w:left="-426" w:leftChars="-203" w:right="-57" w:rightChars="-27" w:firstLine="263" w:firstLineChars="94"/>
        <w:rPr>
          <w:rFonts w:ascii="仿宋" w:hAnsi="仿宋" w:eastAsia="仿宋" w:cs="仿宋"/>
          <w:bCs/>
          <w:color w:val="auto"/>
          <w:kern w:val="2"/>
          <w:sz w:val="28"/>
          <w:szCs w:val="28"/>
        </w:rPr>
      </w:pPr>
      <w:r>
        <w:rPr>
          <w:rFonts w:hint="eastAsia" w:ascii="仿宋" w:hAnsi="仿宋" w:eastAsia="仿宋" w:cs="仿宋"/>
          <w:bCs/>
          <w:color w:val="auto"/>
          <w:kern w:val="2"/>
          <w:sz w:val="28"/>
          <w:szCs w:val="28"/>
        </w:rPr>
        <w:t xml:space="preserve">  </w:t>
      </w:r>
      <w:r>
        <w:rPr>
          <w:rFonts w:ascii="仿宋" w:hAnsi="仿宋" w:eastAsia="仿宋" w:cs="仿宋"/>
          <w:bCs/>
          <w:color w:val="auto"/>
          <w:kern w:val="2"/>
          <w:sz w:val="28"/>
          <w:szCs w:val="28"/>
        </w:rPr>
        <w:t>管理会计定位，</w:t>
      </w:r>
      <w:r>
        <w:rPr>
          <w:rFonts w:hint="eastAsia" w:ascii="仿宋" w:hAnsi="仿宋" w:eastAsia="仿宋" w:cs="仿宋"/>
          <w:bCs/>
          <w:color w:val="auto"/>
          <w:kern w:val="2"/>
          <w:sz w:val="28"/>
          <w:szCs w:val="28"/>
        </w:rPr>
        <w:t>管理会计与</w:t>
      </w:r>
      <w:r>
        <w:rPr>
          <w:rFonts w:ascii="仿宋" w:hAnsi="仿宋" w:eastAsia="仿宋" w:cs="仿宋"/>
          <w:bCs/>
          <w:color w:val="auto"/>
          <w:kern w:val="2"/>
          <w:sz w:val="28"/>
          <w:szCs w:val="28"/>
        </w:rPr>
        <w:t>公司价值，构建管理会计体系，战略管理会计、决策管理会计、执行管理会计和评价管理会计的应用</w:t>
      </w:r>
      <w:r>
        <w:rPr>
          <w:rFonts w:hint="eastAsia" w:ascii="仿宋" w:hAnsi="仿宋" w:eastAsia="仿宋" w:cs="仿宋"/>
          <w:bCs/>
          <w:color w:val="auto"/>
          <w:kern w:val="2"/>
          <w:sz w:val="28"/>
          <w:szCs w:val="28"/>
        </w:rPr>
        <w:t xml:space="preserve"> </w:t>
      </w:r>
    </w:p>
    <w:p>
      <w:pPr>
        <w:widowControl/>
        <w:spacing w:line="460" w:lineRule="exact"/>
        <w:ind w:left="-426" w:leftChars="-203" w:right="-57" w:rightChars="-27" w:firstLine="263" w:firstLineChars="94"/>
        <w:jc w:val="left"/>
        <w:rPr>
          <w:rFonts w:ascii="仿宋" w:hAnsi="仿宋" w:eastAsia="仿宋" w:cs="仿宋"/>
          <w:bCs/>
          <w:sz w:val="28"/>
          <w:szCs w:val="28"/>
        </w:rPr>
      </w:pPr>
      <w:r>
        <w:rPr>
          <w:rFonts w:hint="eastAsia" w:ascii="仿宋" w:hAnsi="仿宋" w:eastAsia="仿宋" w:cs="仿宋"/>
          <w:bCs/>
          <w:sz w:val="28"/>
          <w:szCs w:val="28"/>
        </w:rPr>
        <w:t xml:space="preserve">  战略管理案例分享，营运管理、投资管理与管理会计报告案例分享，绩效管理案例分享，风险管理案例分享等</w:t>
      </w:r>
    </w:p>
    <w:p>
      <w:pPr>
        <w:widowControl/>
        <w:spacing w:line="460" w:lineRule="exact"/>
        <w:ind w:left="-426" w:leftChars="-203"/>
        <w:jc w:val="left"/>
        <w:rPr>
          <w:rFonts w:ascii="仿宋" w:hAnsi="仿宋" w:eastAsia="仿宋" w:cs="仿宋"/>
          <w:bCs/>
          <w:sz w:val="28"/>
          <w:szCs w:val="28"/>
        </w:rPr>
      </w:pPr>
      <w:r>
        <w:rPr>
          <w:rFonts w:hint="eastAsia" w:ascii="仿宋" w:hAnsi="仿宋" w:eastAsia="仿宋" w:cs="仿宋"/>
          <w:bCs/>
          <w:sz w:val="28"/>
          <w:szCs w:val="28"/>
        </w:rPr>
        <w:t xml:space="preserve">    管理会计与业财融合——华为、TCL的案例</w:t>
      </w:r>
    </w:p>
    <w:p>
      <w:pPr>
        <w:widowControl/>
        <w:spacing w:line="460" w:lineRule="exact"/>
        <w:ind w:left="-426" w:leftChars="-203"/>
        <w:jc w:val="left"/>
        <w:rPr>
          <w:rFonts w:ascii="仿宋" w:hAnsi="仿宋" w:eastAsia="仿宋" w:cs="仿宋"/>
          <w:bCs/>
          <w:sz w:val="28"/>
          <w:szCs w:val="28"/>
        </w:rPr>
      </w:pPr>
      <w:r>
        <w:rPr>
          <w:rFonts w:hint="eastAsia" w:ascii="仿宋" w:hAnsi="仿宋" w:eastAsia="仿宋" w:cs="仿宋"/>
          <w:bCs/>
          <w:sz w:val="28"/>
          <w:szCs w:val="28"/>
        </w:rPr>
        <w:t xml:space="preserve">    管理会计与信息技术，管理会计与会计人员能力建设</w:t>
      </w:r>
    </w:p>
    <w:p>
      <w:pPr>
        <w:spacing w:line="120" w:lineRule="exact"/>
        <w:ind w:left="-426" w:leftChars="-203" w:right="-483" w:rightChars="-230"/>
        <w:rPr>
          <w:rFonts w:ascii="仿宋_GB2312" w:hAnsi="宋体" w:eastAsia="仿宋_GB2312" w:cs="仿宋"/>
          <w:sz w:val="28"/>
          <w:szCs w:val="28"/>
        </w:rPr>
      </w:pPr>
    </w:p>
    <w:p>
      <w:pPr>
        <w:spacing w:line="420" w:lineRule="exact"/>
        <w:ind w:left="-426" w:leftChars="-203" w:right="-483" w:rightChars="-230"/>
        <w:rPr>
          <w:rFonts w:ascii="仿宋" w:hAnsi="仿宋" w:eastAsia="仿宋" w:cs="仿宋"/>
          <w:b/>
          <w:sz w:val="28"/>
          <w:szCs w:val="28"/>
        </w:rPr>
      </w:pPr>
      <w:r>
        <w:rPr>
          <w:rFonts w:hint="eastAsia" w:ascii="仿宋" w:hAnsi="仿宋" w:eastAsia="仿宋" w:cs="仿宋"/>
          <w:b/>
          <w:sz w:val="28"/>
          <w:szCs w:val="28"/>
        </w:rPr>
        <w:t>专题三：数字智能</w:t>
      </w:r>
      <w:r>
        <w:rPr>
          <w:rFonts w:hint="eastAsia" w:ascii="仿宋" w:hAnsi="仿宋" w:eastAsia="仿宋" w:cs="仿宋"/>
          <w:b/>
          <w:bCs/>
          <w:sz w:val="28"/>
          <w:szCs w:val="28"/>
        </w:rPr>
        <w:t>时代</w:t>
      </w:r>
      <w:r>
        <w:rPr>
          <w:rFonts w:hint="eastAsia" w:ascii="仿宋" w:hAnsi="仿宋" w:eastAsia="仿宋" w:cs="仿宋"/>
          <w:b/>
          <w:sz w:val="28"/>
          <w:szCs w:val="28"/>
        </w:rPr>
        <w:t>财务共享中心建设、运营与提升</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1、共享中心发展概述</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财务转型与组织变革；财务共享服务的概念与发展；共享服务的适用性问题；共享服务建设中的核心要素；信息系统对共享服务的支撑</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bCs/>
          <w:sz w:val="28"/>
          <w:szCs w:val="28"/>
        </w:rPr>
        <w:t>数字智能时代</w:t>
      </w:r>
      <w:r>
        <w:rPr>
          <w:rFonts w:hint="eastAsia" w:ascii="仿宋" w:hAnsi="仿宋" w:eastAsia="仿宋" w:cs="仿宋"/>
          <w:b/>
          <w:sz w:val="28"/>
          <w:szCs w:val="28"/>
        </w:rPr>
        <w:t>共享中心建设与企业管理转型</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重新认识共享中心的意义与价值；现有共享中心的困境与挑战；支持不同战略方向转型的共享中心建设案例</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bCs/>
          <w:sz w:val="28"/>
          <w:szCs w:val="28"/>
        </w:rPr>
        <w:t>数字智能时代</w:t>
      </w:r>
      <w:r>
        <w:rPr>
          <w:rFonts w:hint="eastAsia" w:ascii="仿宋" w:hAnsi="仿宋" w:eastAsia="仿宋" w:cs="仿宋"/>
          <w:b/>
          <w:sz w:val="28"/>
          <w:szCs w:val="28"/>
        </w:rPr>
        <w:t>财务共享服务中心的建设</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财务共享中心的战略结构、战略职能、流程；财务共享中心组织的定位、组织架构变化；财务共享中心人员安排；财务共享中心的地位及主要工作；</w:t>
      </w:r>
      <w:r>
        <w:rPr>
          <w:rFonts w:ascii="仿宋" w:hAnsi="仿宋" w:eastAsia="仿宋" w:cs="仿宋"/>
          <w:sz w:val="28"/>
          <w:szCs w:val="28"/>
        </w:rPr>
        <w:t>IT</w:t>
      </w:r>
      <w:r>
        <w:rPr>
          <w:rFonts w:hint="eastAsia" w:ascii="仿宋" w:hAnsi="仿宋" w:eastAsia="仿宋" w:cs="仿宋"/>
          <w:sz w:val="28"/>
          <w:szCs w:val="28"/>
        </w:rPr>
        <w:t>应用系统的选型；财务共享中心的核心工作</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4、</w:t>
      </w:r>
      <w:r>
        <w:rPr>
          <w:rFonts w:hint="eastAsia" w:ascii="仿宋" w:hAnsi="仿宋" w:eastAsia="仿宋" w:cs="仿宋"/>
          <w:b/>
          <w:bCs/>
          <w:sz w:val="28"/>
          <w:szCs w:val="28"/>
        </w:rPr>
        <w:t>数字智能时代</w:t>
      </w:r>
      <w:r>
        <w:rPr>
          <w:rFonts w:hint="eastAsia" w:ascii="仿宋" w:hAnsi="仿宋" w:eastAsia="仿宋" w:cs="仿宋"/>
          <w:b/>
          <w:sz w:val="28"/>
          <w:szCs w:val="28"/>
        </w:rPr>
        <w:t>财务共享服务中心的运营管理</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共享中心在企业管理中的定位；共享中心团队的绩效问题；共享中心人员的职业发展问题；财务共享服务中心的运营管理的案例分析；集团共享中心的衍生价值</w:t>
      </w:r>
    </w:p>
    <w:p>
      <w:pPr>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5、财务转型基于共享服务平台的打造</w:t>
      </w:r>
    </w:p>
    <w:p>
      <w:pPr>
        <w:spacing w:line="440" w:lineRule="exact"/>
        <w:ind w:left="-426" w:leftChars="-203" w:right="-483" w:rightChars="-230"/>
        <w:jc w:val="left"/>
        <w:rPr>
          <w:rFonts w:ascii="仿宋" w:hAnsi="仿宋" w:eastAsia="仿宋"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财务共享服务与集团信息化、管理会计的关系；管理会计导向的财务共享服务中心建设框架设计；财务共享未来发展方向</w:t>
      </w:r>
    </w:p>
    <w:p>
      <w:pPr>
        <w:spacing w:line="440" w:lineRule="exact"/>
        <w:ind w:left="-426" w:leftChars="-203" w:right="-483" w:rightChars="-230"/>
        <w:jc w:val="left"/>
        <w:outlineLvl w:val="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bCs/>
          <w:sz w:val="28"/>
          <w:szCs w:val="28"/>
        </w:rPr>
        <w:t>数字智能时代财务共享服务中心如何提升</w:t>
      </w:r>
    </w:p>
    <w:p>
      <w:pPr>
        <w:widowControl/>
        <w:spacing w:line="440" w:lineRule="exact"/>
        <w:ind w:left="-426" w:leftChars="-203" w:right="-483" w:rightChars="-230" w:firstLine="560"/>
        <w:jc w:val="left"/>
        <w:rPr>
          <w:rFonts w:ascii="仿宋" w:hAnsi="仿宋" w:eastAsia="仿宋" w:cs="仿宋"/>
          <w:sz w:val="28"/>
          <w:szCs w:val="28"/>
        </w:rPr>
      </w:pPr>
      <w:r>
        <w:rPr>
          <w:rFonts w:hint="eastAsia" w:ascii="仿宋" w:hAnsi="仿宋" w:eastAsia="仿宋" w:cs="仿宋"/>
          <w:sz w:val="28"/>
          <w:szCs w:val="28"/>
        </w:rPr>
        <w:t>智能化背景下财务共享服务未来发展趋势；自动化、智能化在财务共享服务中心的应用；典型案例分析</w:t>
      </w:r>
    </w:p>
    <w:p>
      <w:pPr>
        <w:widowControl/>
        <w:spacing w:line="440" w:lineRule="exact"/>
        <w:ind w:left="-426" w:leftChars="-203" w:right="-483" w:rightChars="-230"/>
        <w:jc w:val="left"/>
        <w:rPr>
          <w:rFonts w:ascii="仿宋" w:hAnsi="仿宋" w:eastAsia="仿宋" w:cs="仿宋"/>
          <w:b/>
          <w:bCs/>
          <w:sz w:val="28"/>
          <w:szCs w:val="28"/>
        </w:rPr>
      </w:pPr>
      <w:r>
        <w:rPr>
          <w:rFonts w:hint="eastAsia" w:ascii="仿宋" w:hAnsi="仿宋" w:eastAsia="仿宋" w:cs="仿宋"/>
          <w:b/>
          <w:bCs/>
          <w:sz w:val="28"/>
          <w:szCs w:val="28"/>
        </w:rPr>
        <w:t>7、以财务共享中心为基础构建企业大数据中心</w:t>
      </w: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sz w:val="28"/>
          <w:szCs w:val="28"/>
        </w:rPr>
        <w:t xml:space="preserve">    从大数据中心到大数据平台，从数据到数据资产</w:t>
      </w:r>
    </w:p>
    <w:p>
      <w:pPr>
        <w:spacing w:line="440" w:lineRule="exact"/>
        <w:ind w:left="-426" w:leftChars="-203" w:right="-483" w:rightChars="-230"/>
        <w:jc w:val="left"/>
        <w:outlineLvl w:val="0"/>
        <w:rPr>
          <w:rFonts w:ascii="仿宋" w:hAnsi="仿宋" w:eastAsia="仿宋" w:cs="仿宋"/>
          <w:b/>
          <w:sz w:val="28"/>
          <w:szCs w:val="28"/>
        </w:rPr>
      </w:pPr>
      <w:r>
        <w:rPr>
          <w:rFonts w:hint="eastAsia" w:ascii="仿宋" w:hAnsi="仿宋" w:eastAsia="仿宋" w:cs="仿宋"/>
          <w:b/>
          <w:sz w:val="28"/>
          <w:szCs w:val="28"/>
        </w:rPr>
        <w:t>8、财务共享服务中心如何发挥司库的部分职能</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财务共享服务中心如何发挥司库的部分职能；司库在企业集团财务管理中的角色定位；司库运行流程与体系建设</w:t>
      </w:r>
    </w:p>
    <w:p>
      <w:pPr>
        <w:spacing w:line="120" w:lineRule="exact"/>
        <w:ind w:left="-426" w:leftChars="-203" w:right="-483" w:rightChars="-230"/>
        <w:rPr>
          <w:rFonts w:ascii="仿宋_GB2312" w:hAnsi="宋体" w:eastAsia="仿宋_GB2312" w:cs="仿宋"/>
          <w:sz w:val="28"/>
          <w:szCs w:val="28"/>
        </w:rPr>
      </w:pPr>
    </w:p>
    <w:p>
      <w:pPr>
        <w:snapToGrid w:val="0"/>
        <w:spacing w:line="400" w:lineRule="exact"/>
        <w:ind w:left="-426" w:leftChars="-203" w:right="-483" w:rightChars="-230"/>
        <w:rPr>
          <w:rFonts w:ascii="仿宋" w:hAnsi="仿宋" w:eastAsia="仿宋" w:cs="Arial"/>
          <w:b/>
          <w:bCs/>
          <w:kern w:val="0"/>
          <w:sz w:val="28"/>
          <w:szCs w:val="28"/>
        </w:rPr>
      </w:pPr>
      <w:r>
        <w:rPr>
          <w:rFonts w:hint="eastAsia" w:ascii="仿宋" w:hAnsi="仿宋" w:eastAsia="仿宋" w:cs="Arial"/>
          <w:b/>
          <w:bCs/>
          <w:kern w:val="0"/>
          <w:sz w:val="28"/>
          <w:szCs w:val="28"/>
        </w:rPr>
        <w:t>四、师资力量</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政府机关、学院、企业界等具有深厚理论功底和丰富实践经验的专家和教授组成</w:t>
      </w:r>
    </w:p>
    <w:p>
      <w:pPr>
        <w:spacing w:line="120" w:lineRule="exact"/>
        <w:ind w:left="-426" w:leftChars="-203" w:right="-483" w:rightChars="-230"/>
        <w:rPr>
          <w:rFonts w:ascii="仿宋_GB2312" w:hAnsi="宋体" w:eastAsia="仿宋_GB2312" w:cs="仿宋"/>
          <w:sz w:val="28"/>
          <w:szCs w:val="28"/>
        </w:rPr>
      </w:pPr>
    </w:p>
    <w:p>
      <w:pPr>
        <w:snapToGrid w:val="0"/>
        <w:spacing w:line="400" w:lineRule="exact"/>
        <w:ind w:left="-426" w:leftChars="-203" w:right="-483" w:rightChars="-230"/>
        <w:rPr>
          <w:rFonts w:ascii="仿宋" w:hAnsi="仿宋" w:eastAsia="仿宋" w:cs="仿宋"/>
          <w:b/>
          <w:sz w:val="28"/>
          <w:szCs w:val="28"/>
        </w:rPr>
      </w:pPr>
      <w:r>
        <w:rPr>
          <w:rFonts w:hint="eastAsia" w:ascii="仿宋" w:hAnsi="仿宋" w:eastAsia="仿宋" w:cs="仿宋"/>
          <w:b/>
          <w:sz w:val="28"/>
          <w:szCs w:val="28"/>
        </w:rPr>
        <w:t>五、培训费用</w:t>
      </w:r>
    </w:p>
    <w:p>
      <w:pPr>
        <w:widowControl/>
        <w:spacing w:line="440" w:lineRule="exact"/>
        <w:ind w:left="-426" w:leftChars="-203" w:right="-483" w:rightChars="-230"/>
        <w:jc w:val="left"/>
        <w:rPr>
          <w:rFonts w:ascii="仿宋" w:hAnsi="仿宋" w:eastAsia="仿宋" w:cs="仿宋"/>
          <w:bCs/>
          <w:color w:val="000000"/>
          <w:sz w:val="24"/>
          <w:szCs w:val="24"/>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收费标准：每期次培训费均为</w:t>
      </w:r>
      <w:r>
        <w:rPr>
          <w:rFonts w:ascii="仿宋" w:hAnsi="仿宋" w:eastAsia="仿宋" w:cs="仿宋"/>
          <w:sz w:val="28"/>
          <w:szCs w:val="28"/>
        </w:rPr>
        <w:t>2900</w:t>
      </w:r>
      <w:r>
        <w:rPr>
          <w:rFonts w:hint="eastAsia" w:ascii="仿宋" w:hAnsi="仿宋" w:eastAsia="仿宋" w:cs="仿宋"/>
          <w:sz w:val="28"/>
          <w:szCs w:val="28"/>
        </w:rPr>
        <w:t>元</w:t>
      </w:r>
      <w:r>
        <w:rPr>
          <w:rFonts w:ascii="仿宋" w:hAnsi="仿宋" w:eastAsia="仿宋" w:cs="仿宋"/>
          <w:sz w:val="28"/>
          <w:szCs w:val="28"/>
        </w:rPr>
        <w:t>/</w:t>
      </w:r>
      <w:r>
        <w:rPr>
          <w:rFonts w:hint="eastAsia" w:ascii="仿宋" w:hAnsi="仿宋" w:eastAsia="仿宋" w:cs="仿宋"/>
          <w:sz w:val="28"/>
          <w:szCs w:val="28"/>
        </w:rPr>
        <w:t>人</w:t>
      </w:r>
      <w:r>
        <w:rPr>
          <w:rFonts w:ascii="仿宋" w:hAnsi="仿宋" w:eastAsia="仿宋" w:cs="仿宋"/>
          <w:sz w:val="28"/>
          <w:szCs w:val="28"/>
        </w:rPr>
        <w:t>(</w:t>
      </w:r>
      <w:r>
        <w:rPr>
          <w:rFonts w:hint="eastAsia" w:ascii="仿宋" w:hAnsi="仿宋" w:eastAsia="仿宋" w:cs="仿宋"/>
          <w:sz w:val="28"/>
          <w:szCs w:val="28"/>
        </w:rPr>
        <w:t>包括专家授课费、资料费、教学场租设备费等</w:t>
      </w:r>
      <w:r>
        <w:rPr>
          <w:rFonts w:ascii="仿宋" w:hAnsi="仿宋" w:eastAsia="仿宋" w:cs="仿宋"/>
          <w:sz w:val="28"/>
          <w:szCs w:val="28"/>
        </w:rPr>
        <w:t>)</w:t>
      </w:r>
      <w:r>
        <w:rPr>
          <w:rFonts w:hint="eastAsia" w:ascii="仿宋" w:hAnsi="仿宋" w:eastAsia="仿宋" w:cs="仿宋"/>
          <w:sz w:val="28"/>
          <w:szCs w:val="28"/>
        </w:rPr>
        <w:t>。住宿和用餐统一安排，费用自理；交通费用自理</w:t>
      </w:r>
    </w:p>
    <w:p>
      <w:pPr>
        <w:spacing w:line="120" w:lineRule="exact"/>
        <w:ind w:left="-426" w:leftChars="-203" w:right="-483" w:rightChars="-230"/>
        <w:rPr>
          <w:rFonts w:ascii="仿宋_GB2312" w:hAnsi="宋体" w:eastAsia="仿宋_GB2312" w:cs="仿宋"/>
          <w:sz w:val="28"/>
          <w:szCs w:val="28"/>
        </w:rPr>
      </w:pPr>
    </w:p>
    <w:p>
      <w:pPr>
        <w:snapToGrid w:val="0"/>
        <w:spacing w:line="400" w:lineRule="exact"/>
        <w:ind w:left="-426" w:leftChars="-203" w:right="-483" w:rightChars="-230"/>
        <w:rPr>
          <w:rFonts w:ascii="仿宋" w:hAnsi="仿宋" w:eastAsia="仿宋"/>
          <w:b/>
          <w:sz w:val="28"/>
          <w:szCs w:val="28"/>
        </w:rPr>
      </w:pPr>
      <w:r>
        <w:rPr>
          <w:rFonts w:hint="eastAsia" w:ascii="仿宋" w:hAnsi="仿宋" w:eastAsia="仿宋"/>
          <w:b/>
          <w:sz w:val="28"/>
          <w:szCs w:val="28"/>
        </w:rPr>
        <w:t>六、培训证书</w:t>
      </w:r>
    </w:p>
    <w:p>
      <w:pPr>
        <w:widowControl/>
        <w:spacing w:line="440" w:lineRule="exact"/>
        <w:ind w:left="-426" w:leftChars="-203" w:right="-483" w:rightChars="-230" w:firstLine="520"/>
        <w:jc w:val="left"/>
        <w:rPr>
          <w:rFonts w:ascii="仿宋" w:hAnsi="仿宋" w:eastAsia="仿宋" w:cs="仿宋"/>
          <w:sz w:val="28"/>
          <w:szCs w:val="28"/>
        </w:rPr>
      </w:pPr>
      <w:r>
        <w:rPr>
          <w:rFonts w:hint="eastAsia" w:ascii="仿宋" w:hAnsi="仿宋" w:eastAsia="仿宋" w:cs="仿宋"/>
          <w:sz w:val="28"/>
          <w:szCs w:val="28"/>
        </w:rPr>
        <w:t>培训班学习期满，完成教学计划规定的全部课程，由中国总会计师协会颁发《财务岗位培训证书》</w:t>
      </w:r>
    </w:p>
    <w:p>
      <w:pPr>
        <w:spacing w:line="120" w:lineRule="exact"/>
        <w:ind w:left="-426" w:leftChars="-203" w:right="-483" w:rightChars="-230"/>
        <w:rPr>
          <w:rFonts w:ascii="仿宋_GB2312" w:hAnsi="宋体" w:eastAsia="仿宋_GB2312" w:cs="仿宋"/>
          <w:sz w:val="28"/>
          <w:szCs w:val="28"/>
        </w:rPr>
      </w:pPr>
    </w:p>
    <w:p>
      <w:pPr>
        <w:widowControl/>
        <w:spacing w:line="440" w:lineRule="exact"/>
        <w:ind w:left="-426" w:leftChars="-203" w:right="-483" w:rightChars="-230"/>
        <w:jc w:val="left"/>
        <w:rPr>
          <w:rFonts w:ascii="仿宋" w:hAnsi="仿宋" w:eastAsia="仿宋"/>
          <w:b/>
          <w:sz w:val="28"/>
          <w:szCs w:val="28"/>
        </w:rPr>
      </w:pPr>
      <w:r>
        <w:rPr>
          <w:rFonts w:hint="eastAsia" w:ascii="仿宋" w:hAnsi="仿宋" w:eastAsia="仿宋"/>
          <w:b/>
          <w:sz w:val="28"/>
          <w:szCs w:val="28"/>
        </w:rPr>
        <w:t>七、其他</w:t>
      </w: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sz w:val="28"/>
          <w:szCs w:val="28"/>
        </w:rPr>
        <w:t xml:space="preserve">    研讨培训将根据情况安排到企业现场参观交流，欢迎推荐或自荐！</w:t>
      </w:r>
    </w:p>
    <w:p>
      <w:pPr>
        <w:spacing w:line="120" w:lineRule="exact"/>
        <w:ind w:left="-426" w:leftChars="-203" w:right="-483" w:rightChars="-230"/>
        <w:rPr>
          <w:rFonts w:ascii="仿宋_GB2312" w:hAnsi="宋体" w:eastAsia="仿宋_GB2312" w:cs="仿宋"/>
          <w:sz w:val="28"/>
          <w:szCs w:val="28"/>
        </w:rPr>
      </w:pPr>
    </w:p>
    <w:p>
      <w:pPr>
        <w:spacing w:line="440" w:lineRule="exact"/>
        <w:ind w:left="-426" w:leftChars="-203" w:right="-483" w:rightChars="-230"/>
        <w:rPr>
          <w:rFonts w:ascii="仿宋" w:hAnsi="仿宋" w:eastAsia="仿宋"/>
          <w:b/>
          <w:sz w:val="28"/>
          <w:szCs w:val="28"/>
        </w:rPr>
      </w:pPr>
      <w:r>
        <w:rPr>
          <w:rFonts w:hint="eastAsia" w:ascii="仿宋" w:hAnsi="仿宋" w:eastAsia="仿宋"/>
          <w:b/>
          <w:sz w:val="28"/>
          <w:szCs w:val="28"/>
        </w:rPr>
        <w:t>八、报名联系方式</w:t>
      </w:r>
    </w:p>
    <w:p>
      <w:pPr>
        <w:spacing w:line="440" w:lineRule="exact"/>
        <w:ind w:left="-426" w:leftChars="-203" w:right="-483" w:rightChars="-230"/>
        <w:rPr>
          <w:rFonts w:ascii="仿宋" w:hAnsi="仿宋" w:eastAsia="仿宋"/>
          <w:b/>
          <w:sz w:val="30"/>
          <w:szCs w:val="30"/>
        </w:rPr>
      </w:pPr>
      <w:r>
        <w:rPr>
          <w:rFonts w:hint="eastAsia" w:ascii="仿宋_GB2312" w:hAnsi="宋体" w:eastAsia="仿宋_GB2312" w:cs="仿宋"/>
          <w:sz w:val="28"/>
          <w:szCs w:val="28"/>
        </w:rPr>
        <w:t xml:space="preserve">    </w:t>
      </w:r>
      <w:r>
        <w:rPr>
          <w:rFonts w:hint="eastAsia" w:ascii="仿宋" w:hAnsi="仿宋" w:eastAsia="仿宋"/>
          <w:b/>
          <w:sz w:val="30"/>
          <w:szCs w:val="30"/>
        </w:rPr>
        <w:t>八、报名联系方式</w:t>
      </w:r>
    </w:p>
    <w:p>
      <w:pPr>
        <w:widowControl/>
        <w:spacing w:line="440" w:lineRule="exact"/>
        <w:ind w:left="-426" w:leftChars="-203" w:right="-483" w:rightChars="-230"/>
        <w:jc w:val="left"/>
        <w:rPr>
          <w:rFonts w:hint="eastAsia" w:ascii="仿宋" w:hAnsi="仿宋" w:eastAsia="仿宋" w:cs="仿宋"/>
          <w:sz w:val="30"/>
          <w:szCs w:val="30"/>
          <w:lang w:val="en-US" w:eastAsia="zh-CN"/>
        </w:rPr>
      </w:pPr>
      <w:r>
        <w:rPr>
          <w:rFonts w:hint="eastAsia" w:ascii="仿宋_GB2312" w:hAnsi="宋体" w:eastAsia="仿宋_GB2312" w:cs="仿宋"/>
          <w:sz w:val="30"/>
          <w:szCs w:val="30"/>
        </w:rPr>
        <w:t xml:space="preserve">   </w:t>
      </w:r>
      <w:r>
        <w:rPr>
          <w:rFonts w:hint="eastAsia" w:ascii="仿宋" w:hAnsi="仿宋" w:eastAsia="仿宋" w:cs="仿宋"/>
          <w:sz w:val="30"/>
          <w:szCs w:val="30"/>
        </w:rPr>
        <w:t>电话：</w:t>
      </w:r>
      <w:r>
        <w:rPr>
          <w:rFonts w:ascii="仿宋" w:hAnsi="仿宋" w:eastAsia="仿宋" w:cs="仿宋"/>
          <w:sz w:val="30"/>
          <w:szCs w:val="30"/>
        </w:rPr>
        <w:t>010-</w:t>
      </w:r>
      <w:r>
        <w:rPr>
          <w:rFonts w:hint="eastAsia" w:ascii="仿宋" w:hAnsi="仿宋" w:eastAsia="仿宋" w:cs="仿宋"/>
          <w:sz w:val="30"/>
          <w:szCs w:val="30"/>
        </w:rPr>
        <w:t>633817</w:t>
      </w:r>
      <w:r>
        <w:rPr>
          <w:rFonts w:hint="eastAsia" w:ascii="仿宋" w:hAnsi="仿宋" w:eastAsia="仿宋" w:cs="仿宋"/>
          <w:sz w:val="30"/>
          <w:szCs w:val="30"/>
          <w:lang w:val="en-US" w:eastAsia="zh-CN"/>
        </w:rPr>
        <w:t>80</w:t>
      </w:r>
      <w:bookmarkStart w:id="0" w:name="_GoBack"/>
      <w:bookmarkEnd w:id="0"/>
    </w:p>
    <w:p>
      <w:pPr>
        <w:widowControl/>
        <w:spacing w:line="440" w:lineRule="exact"/>
        <w:ind w:left="-426" w:leftChars="-203" w:right="-483" w:rightChars="-230"/>
        <w:jc w:val="left"/>
        <w:rPr>
          <w:rFonts w:hint="eastAsia" w:ascii="仿宋" w:hAnsi="仿宋" w:eastAsia="仿宋" w:cs="仿宋"/>
          <w:sz w:val="30"/>
          <w:szCs w:val="30"/>
        </w:rPr>
      </w:pPr>
      <w:r>
        <w:rPr>
          <w:rFonts w:hint="eastAsia" w:ascii="仿宋" w:hAnsi="仿宋" w:eastAsia="仿宋" w:cs="仿宋"/>
          <w:sz w:val="30"/>
          <w:szCs w:val="30"/>
        </w:rPr>
        <w:t xml:space="preserve">   传真：</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邮箱</w:t>
      </w:r>
      <w:r>
        <w:rPr>
          <w:rFonts w:hint="eastAsia" w:ascii="仿宋" w:hAnsi="仿宋" w:eastAsia="仿宋" w:cs="仿宋"/>
          <w:sz w:val="30"/>
          <w:szCs w:val="30"/>
          <w:lang w:val="en-US" w:eastAsia="zh-CN"/>
        </w:rPr>
        <w:t>:lunwen@cmcfo.cn</w:t>
      </w:r>
    </w:p>
    <w:p>
      <w:pPr>
        <w:spacing w:line="340" w:lineRule="exact"/>
        <w:ind w:left="-425" w:leftChars="-203" w:right="-483" w:rightChars="-230" w:hanging="1"/>
        <w:rPr>
          <w:rFonts w:hint="eastAsia" w:ascii="宋体" w:hAnsi="宋体" w:cs="宋体"/>
          <w:b/>
          <w:bCs/>
          <w:kern w:val="0"/>
          <w:sz w:val="28"/>
          <w:szCs w:val="28"/>
        </w:rPr>
      </w:pPr>
    </w:p>
    <w:p>
      <w:pPr>
        <w:spacing w:line="340" w:lineRule="exact"/>
        <w:ind w:left="-425" w:leftChars="-203" w:right="-483" w:rightChars="-230" w:hanging="1"/>
        <w:rPr>
          <w:rFonts w:hint="eastAsia" w:ascii="宋体" w:hAnsi="宋体" w:cs="宋体"/>
          <w:b/>
          <w:bCs/>
          <w:kern w:val="0"/>
          <w:sz w:val="28"/>
          <w:szCs w:val="28"/>
        </w:rPr>
      </w:pPr>
    </w:p>
    <w:p>
      <w:pPr>
        <w:spacing w:line="340" w:lineRule="exact"/>
        <w:ind w:left="-425" w:leftChars="-203" w:right="-483" w:rightChars="-230" w:hanging="1"/>
        <w:rPr>
          <w:rFonts w:ascii="宋体" w:cs="仿宋"/>
          <w:b/>
          <w:sz w:val="28"/>
          <w:szCs w:val="28"/>
        </w:rPr>
      </w:pPr>
      <w:r>
        <w:rPr>
          <w:rFonts w:hint="eastAsia" w:ascii="宋体" w:hAnsi="宋体" w:cs="宋体"/>
          <w:b/>
          <w:bCs/>
          <w:kern w:val="0"/>
          <w:sz w:val="28"/>
          <w:szCs w:val="28"/>
        </w:rPr>
        <w:t>附件</w:t>
      </w:r>
      <w:r>
        <w:rPr>
          <w:rFonts w:ascii="宋体" w:hAnsi="宋体" w:cs="宋体"/>
          <w:b/>
          <w:bCs/>
          <w:kern w:val="0"/>
          <w:sz w:val="28"/>
          <w:szCs w:val="28"/>
        </w:rPr>
        <w:t>2</w:t>
      </w:r>
      <w:r>
        <w:rPr>
          <w:rFonts w:hint="eastAsia" w:ascii="宋体" w:hAnsi="宋体" w:cs="宋体"/>
          <w:b/>
          <w:bCs/>
          <w:kern w:val="0"/>
          <w:sz w:val="28"/>
          <w:szCs w:val="28"/>
        </w:rPr>
        <w:t>：</w:t>
      </w:r>
    </w:p>
    <w:p>
      <w:pPr>
        <w:spacing w:line="380" w:lineRule="exact"/>
        <w:ind w:left="-425" w:leftChars="-203" w:right="-483" w:rightChars="-230" w:hanging="1"/>
        <w:jc w:val="center"/>
        <w:rPr>
          <w:rFonts w:ascii="仿宋_GB2312" w:hAnsi="宋体" w:eastAsia="仿宋_GB2312" w:cs="仿宋"/>
          <w:b/>
          <w:bCs/>
          <w:sz w:val="32"/>
          <w:szCs w:val="32"/>
        </w:rPr>
      </w:pPr>
      <w:r>
        <w:rPr>
          <w:rFonts w:hint="eastAsia" w:ascii="仿宋_GB2312" w:hAnsi="宋体" w:eastAsia="仿宋_GB2312" w:cs="仿宋"/>
          <w:b/>
          <w:bCs/>
          <w:sz w:val="32"/>
          <w:szCs w:val="32"/>
        </w:rPr>
        <w:t>“数字智能时代财务转型、业财融合与财务管控”专题报名表</w:t>
      </w:r>
    </w:p>
    <w:p>
      <w:pPr>
        <w:spacing w:line="340" w:lineRule="exact"/>
        <w:ind w:left="-425" w:leftChars="-203" w:right="-483" w:rightChars="-230" w:hanging="1"/>
        <w:jc w:val="center"/>
        <w:rPr>
          <w:rFonts w:ascii="仿宋" w:hAnsi="仿宋" w:eastAsia="仿宋" w:cs="仿宋"/>
          <w:sz w:val="28"/>
          <w:szCs w:val="28"/>
        </w:rPr>
      </w:pPr>
      <w:r>
        <w:rPr>
          <w:rFonts w:ascii="仿宋" w:hAnsi="仿宋" w:eastAsia="仿宋"/>
          <w:color w:val="000000"/>
          <w:sz w:val="30"/>
          <w:szCs w:val="30"/>
        </w:rPr>
        <w:t>(</w:t>
      </w:r>
      <w:r>
        <w:rPr>
          <w:rFonts w:hint="eastAsia" w:ascii="仿宋" w:hAnsi="仿宋" w:eastAsia="仿宋"/>
          <w:color w:val="000000"/>
          <w:sz w:val="30"/>
          <w:szCs w:val="30"/>
        </w:rPr>
        <w:t>地点：北京</w:t>
      </w:r>
      <w:r>
        <w:rPr>
          <w:rFonts w:ascii="仿宋" w:hAnsi="仿宋" w:eastAsia="仿宋"/>
          <w:color w:val="000000" w:themeColor="text1"/>
          <w:sz w:val="30"/>
          <w:szCs w:val="30"/>
          <w14:textFill>
            <w14:solidFill>
              <w14:schemeClr w14:val="tx1"/>
            </w14:solidFill>
          </w14:textFill>
        </w:rPr>
        <w:t xml:space="preserve">) </w:t>
      </w:r>
    </w:p>
    <w:tbl>
      <w:tblPr>
        <w:tblStyle w:val="13"/>
        <w:tblpPr w:leftFromText="180" w:rightFromText="180" w:vertAnchor="text" w:horzAnchor="page" w:tblpX="1230" w:tblpY="166"/>
        <w:tblOverlap w:val="never"/>
        <w:tblW w:w="100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18"/>
        <w:gridCol w:w="705"/>
        <w:gridCol w:w="1020"/>
        <w:gridCol w:w="1590"/>
        <w:gridCol w:w="1740"/>
        <w:gridCol w:w="1035"/>
        <w:gridCol w:w="596"/>
        <w:gridCol w:w="244"/>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656" w:type="dxa"/>
            <w:gridSpan w:val="8"/>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5"/>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726"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726"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222" w:hRule="atLeast"/>
        </w:trPr>
        <w:tc>
          <w:tcPr>
            <w:tcW w:w="10016"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134" w:leftChars="-203" w:right="-483" w:rightChars="-230" w:hanging="560" w:hangingChars="200"/>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ascii="仿宋" w:hAnsi="仿宋" w:eastAsia="仿宋" w:cs="仿宋"/>
                <w:sz w:val="30"/>
                <w:szCs w:val="30"/>
              </w:rPr>
              <w:br w:type="textWrapping"/>
            </w:r>
            <w:r>
              <w:rPr>
                <w:rFonts w:hint="eastAsia" w:ascii="仿宋" w:hAnsi="仿宋" w:eastAsia="仿宋" w:cs="仿宋"/>
                <w:sz w:val="30"/>
                <w:szCs w:val="30"/>
              </w:rPr>
              <w:t>邮箱</w:t>
            </w:r>
            <w:r>
              <w:rPr>
                <w:rFonts w:hint="eastAsia" w:ascii="仿宋" w:hAnsi="仿宋" w:eastAsia="仿宋" w:cs="仿宋"/>
                <w:sz w:val="30"/>
                <w:szCs w:val="30"/>
                <w:lang w:val="en-US" w:eastAsia="zh-CN"/>
              </w:rPr>
              <w:t>:lunwen@cmcfo.cn</w:t>
            </w:r>
          </w:p>
          <w:p>
            <w:pPr>
              <w:widowControl/>
              <w:tabs>
                <w:tab w:val="left" w:pos="360"/>
                <w:tab w:val="left" w:pos="540"/>
              </w:tabs>
              <w:spacing w:line="120" w:lineRule="exact"/>
              <w:ind w:left="-425" w:leftChars="-203" w:right="-483" w:rightChars="-230" w:hanging="1"/>
              <w:jc w:val="center"/>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98" w:hRule="atLeast"/>
        </w:trPr>
        <w:tc>
          <w:tcPr>
            <w:tcW w:w="1242" w:type="dxa"/>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80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日</w:t>
            </w:r>
          </w:p>
        </w:tc>
      </w:tr>
    </w:tbl>
    <w:p>
      <w:pPr>
        <w:spacing w:line="380" w:lineRule="exact"/>
        <w:ind w:left="-425" w:leftChars="-203" w:right="-483" w:rightChars="-230" w:hanging="1"/>
        <w:jc w:val="center"/>
        <w:rPr>
          <w:rFonts w:ascii="仿宋" w:hAnsi="仿宋" w:eastAsia="仿宋" w:cs="仿宋"/>
          <w:color w:val="000000"/>
          <w:spacing w:val="-20"/>
          <w:sz w:val="30"/>
          <w:szCs w:val="30"/>
          <w:shd w:val="clear" w:color="auto" w:fill="FFFFFF"/>
        </w:rPr>
      </w:pPr>
    </w:p>
    <w:p>
      <w:pPr>
        <w:spacing w:line="380" w:lineRule="exact"/>
        <w:ind w:left="-425" w:leftChars="-203" w:right="-483" w:rightChars="-230" w:hanging="1"/>
        <w:jc w:val="center"/>
        <w:rPr>
          <w:rFonts w:hint="eastAsia" w:ascii="仿宋_GB2312" w:hAnsi="宋体" w:eastAsia="仿宋_GB2312" w:cs="仿宋"/>
          <w:b/>
          <w:bCs/>
          <w:sz w:val="32"/>
          <w:szCs w:val="32"/>
        </w:rPr>
      </w:pPr>
      <w:r>
        <w:rPr>
          <w:rFonts w:ascii="仿宋_GB2312" w:hAnsi="宋体" w:eastAsia="仿宋_GB2312" w:cs="仿宋"/>
          <w:b/>
          <w:bCs/>
          <w:sz w:val="32"/>
          <w:szCs w:val="32"/>
        </w:rPr>
        <w:t xml:space="preserve"> </w:t>
      </w: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hint="eastAsia" w:ascii="仿宋_GB2312" w:hAnsi="宋体" w:eastAsia="仿宋_GB2312" w:cs="仿宋"/>
          <w:b/>
          <w:bCs/>
          <w:sz w:val="30"/>
          <w:szCs w:val="30"/>
        </w:rPr>
      </w:pPr>
    </w:p>
    <w:p>
      <w:pPr>
        <w:spacing w:line="380" w:lineRule="exact"/>
        <w:ind w:left="-425" w:leftChars="-203" w:right="-483" w:rightChars="-230" w:hanging="1"/>
        <w:jc w:val="center"/>
        <w:rPr>
          <w:rFonts w:ascii="仿宋_GB2312" w:hAnsi="宋体" w:eastAsia="仿宋_GB2312" w:cs="仿宋"/>
          <w:b/>
          <w:bCs/>
          <w:sz w:val="30"/>
          <w:szCs w:val="30"/>
        </w:rPr>
      </w:pPr>
      <w:r>
        <w:rPr>
          <w:rFonts w:hint="eastAsia" w:ascii="仿宋_GB2312" w:hAnsi="宋体" w:eastAsia="仿宋_GB2312" w:cs="仿宋"/>
          <w:b/>
          <w:bCs/>
          <w:sz w:val="30"/>
          <w:szCs w:val="30"/>
        </w:rPr>
        <w:t>“预算、成本与新时代管理会计框架体系及其创新实践”专题报名表</w:t>
      </w:r>
    </w:p>
    <w:p>
      <w:pPr>
        <w:spacing w:line="400" w:lineRule="exact"/>
        <w:ind w:left="-425" w:leftChars="-203" w:right="-483" w:rightChars="-230" w:hanging="1"/>
        <w:jc w:val="center"/>
        <w:rPr>
          <w:rFonts w:ascii="仿宋" w:hAnsi="仿宋" w:eastAsia="仿宋"/>
          <w:color w:val="000000"/>
          <w:sz w:val="30"/>
          <w:szCs w:val="30"/>
        </w:rPr>
      </w:pPr>
      <w:r>
        <w:rPr>
          <w:rFonts w:ascii="仿宋" w:hAnsi="仿宋" w:eastAsia="仿宋"/>
          <w:color w:val="000000"/>
          <w:sz w:val="30"/>
          <w:szCs w:val="30"/>
        </w:rPr>
        <w:t>(</w:t>
      </w:r>
      <w:r>
        <w:rPr>
          <w:rFonts w:hint="eastAsia" w:ascii="仿宋" w:hAnsi="仿宋" w:eastAsia="仿宋"/>
          <w:color w:val="000000"/>
          <w:sz w:val="30"/>
          <w:szCs w:val="30"/>
        </w:rPr>
        <w:t>地点：哈尔滨</w:t>
      </w:r>
      <w:r>
        <w:rPr>
          <w:rFonts w:ascii="仿宋" w:hAnsi="仿宋" w:eastAsia="仿宋"/>
          <w:color w:val="000000"/>
          <w:sz w:val="30"/>
          <w:szCs w:val="30"/>
        </w:rPr>
        <w:t>)</w:t>
      </w:r>
    </w:p>
    <w:tbl>
      <w:tblPr>
        <w:tblStyle w:val="13"/>
        <w:tblpPr w:leftFromText="180" w:rightFromText="180" w:vertAnchor="text" w:horzAnchor="page" w:tblpX="1230" w:tblpY="166"/>
        <w:tblOverlap w:val="never"/>
        <w:tblW w:w="9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166"/>
        <w:gridCol w:w="539"/>
        <w:gridCol w:w="1020"/>
        <w:gridCol w:w="1590"/>
        <w:gridCol w:w="1740"/>
        <w:gridCol w:w="1035"/>
        <w:gridCol w:w="455"/>
        <w:gridCol w:w="385"/>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475" w:type="dxa"/>
            <w:gridSpan w:val="9"/>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6"/>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545"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545"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3" w:hRule="atLeast"/>
        </w:trPr>
        <w:tc>
          <w:tcPr>
            <w:tcW w:w="9835"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134" w:leftChars="-203" w:right="-483" w:rightChars="-230" w:hanging="560" w:hangingChars="200"/>
              <w:jc w:val="left"/>
              <w:rPr>
                <w:rFonts w:hint="eastAsia" w:ascii="仿宋" w:hAnsi="仿宋" w:eastAsia="仿宋" w:cs="仿宋"/>
                <w:color w:val="000000"/>
                <w:spacing w:val="-4"/>
                <w:sz w:val="28"/>
                <w:szCs w:val="28"/>
                <w:lang w:val="en-US" w:eastAsia="zh-CN"/>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hint="eastAsia"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lang w:val="en-US" w:eastAsia="zh-CN"/>
              </w:rPr>
              <w:t>邮</w:t>
            </w:r>
            <w:r>
              <w:rPr>
                <w:rFonts w:hint="eastAsia" w:ascii="仿宋" w:hAnsi="仿宋" w:eastAsia="仿宋" w:cs="仿宋"/>
                <w:sz w:val="30"/>
                <w:szCs w:val="30"/>
              </w:rPr>
              <w:t>箱</w:t>
            </w:r>
            <w:r>
              <w:rPr>
                <w:rFonts w:hint="eastAsia" w:ascii="仿宋" w:hAnsi="仿宋" w:eastAsia="仿宋" w:cs="仿宋"/>
                <w:sz w:val="30"/>
                <w:szCs w:val="30"/>
                <w:lang w:val="en-US" w:eastAsia="zh-CN"/>
              </w:rPr>
              <w:t xml:space="preserve">:lunwen@cmcfo.cn  </w:t>
            </w:r>
          </w:p>
          <w:p>
            <w:pPr>
              <w:widowControl/>
              <w:tabs>
                <w:tab w:val="left" w:pos="360"/>
                <w:tab w:val="left" w:pos="540"/>
              </w:tabs>
              <w:spacing w:line="120" w:lineRule="exact"/>
              <w:ind w:left="-425" w:leftChars="-203" w:right="-483" w:rightChars="-230" w:hanging="1"/>
              <w:jc w:val="left"/>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379" w:type="dxa"/>
            <w:gridSpan w:val="6"/>
            <w:tcBorders>
              <w:top w:val="single" w:color="auto" w:sz="4" w:space="0"/>
              <w:left w:val="single" w:color="auto" w:sz="4" w:space="0"/>
              <w:bottom w:val="single" w:color="auto" w:sz="4" w:space="0"/>
              <w:right w:val="single" w:color="auto" w:sz="4" w:space="0"/>
            </w:tcBorders>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会培训费共计：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 日</w:t>
            </w:r>
          </w:p>
        </w:tc>
      </w:tr>
    </w:tbl>
    <w:p>
      <w:pPr>
        <w:spacing w:line="400" w:lineRule="exact"/>
        <w:ind w:left="-425" w:leftChars="-203" w:right="-483" w:rightChars="-230" w:hanging="1"/>
        <w:rPr>
          <w:rFonts w:ascii="仿宋" w:hAnsi="仿宋" w:eastAsia="仿宋" w:cs="仿宋"/>
          <w:color w:val="000000"/>
          <w:spacing w:val="-20"/>
          <w:sz w:val="30"/>
          <w:szCs w:val="30"/>
          <w:shd w:val="clear" w:color="auto" w:fill="FFFFFF"/>
        </w:rPr>
      </w:pPr>
    </w:p>
    <w:p>
      <w:pPr>
        <w:widowControl/>
        <w:spacing w:line="440" w:lineRule="exact"/>
        <w:ind w:left="-426" w:leftChars="-203" w:right="-483" w:rightChars="-230"/>
        <w:jc w:val="left"/>
        <w:rPr>
          <w:rFonts w:ascii="仿宋" w:hAnsi="仿宋" w:eastAsia="仿宋" w:cs="仿宋"/>
          <w:sz w:val="30"/>
          <w:szCs w:val="30"/>
        </w:rPr>
      </w:pP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ascii="仿宋_GB2312" w:hAnsi="宋体" w:eastAsia="仿宋_GB2312" w:cs="仿宋"/>
          <w:b/>
          <w:bCs/>
          <w:sz w:val="32"/>
          <w:szCs w:val="32"/>
        </w:rPr>
      </w:pPr>
      <w:r>
        <w:rPr>
          <w:rFonts w:hint="eastAsia" w:ascii="仿宋_GB2312" w:hAnsi="宋体" w:eastAsia="仿宋_GB2312" w:cs="仿宋"/>
          <w:b/>
          <w:bCs/>
          <w:sz w:val="32"/>
          <w:szCs w:val="32"/>
        </w:rPr>
        <w:t>“数字智能时代的财务共享中心建设、运营与提升”专题报名表</w:t>
      </w:r>
    </w:p>
    <w:p>
      <w:pPr>
        <w:spacing w:line="400" w:lineRule="exact"/>
        <w:ind w:left="-425" w:leftChars="-203" w:right="-483" w:rightChars="-230" w:hanging="1"/>
        <w:jc w:val="center"/>
        <w:rPr>
          <w:rFonts w:ascii="仿宋" w:hAnsi="仿宋" w:eastAsia="仿宋"/>
          <w:color w:val="000000"/>
          <w:sz w:val="30"/>
          <w:szCs w:val="30"/>
        </w:rPr>
      </w:pPr>
      <w:r>
        <w:rPr>
          <w:rFonts w:ascii="仿宋" w:hAnsi="仿宋" w:eastAsia="仿宋"/>
          <w:color w:val="000000"/>
          <w:sz w:val="30"/>
          <w:szCs w:val="30"/>
        </w:rPr>
        <w:t>(</w:t>
      </w:r>
      <w:r>
        <w:rPr>
          <w:rFonts w:hint="eastAsia" w:ascii="仿宋" w:hAnsi="仿宋" w:eastAsia="仿宋"/>
          <w:color w:val="000000"/>
          <w:sz w:val="30"/>
          <w:szCs w:val="30"/>
        </w:rPr>
        <w:t>地点：北京</w:t>
      </w:r>
      <w:r>
        <w:rPr>
          <w:rFonts w:ascii="仿宋" w:hAnsi="仿宋" w:eastAsia="仿宋"/>
          <w:color w:val="000000"/>
          <w:sz w:val="30"/>
          <w:szCs w:val="30"/>
        </w:rPr>
        <w:t>)</w:t>
      </w:r>
    </w:p>
    <w:tbl>
      <w:tblPr>
        <w:tblStyle w:val="13"/>
        <w:tblpPr w:leftFromText="180" w:rightFromText="180" w:vertAnchor="text" w:horzAnchor="page" w:tblpX="1230" w:tblpY="166"/>
        <w:tblOverlap w:val="never"/>
        <w:tblW w:w="9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166"/>
        <w:gridCol w:w="539"/>
        <w:gridCol w:w="1020"/>
        <w:gridCol w:w="1590"/>
        <w:gridCol w:w="1740"/>
        <w:gridCol w:w="1035"/>
        <w:gridCol w:w="455"/>
        <w:gridCol w:w="385"/>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475" w:type="dxa"/>
            <w:gridSpan w:val="9"/>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6"/>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545"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545"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383" w:hRule="atLeast"/>
        </w:trPr>
        <w:tc>
          <w:tcPr>
            <w:tcW w:w="9835"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426" w:leftChars="-203" w:right="-483" w:rightChars="-230"/>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ascii="仿宋" w:hAnsi="仿宋" w:eastAsia="仿宋" w:cs="仿宋"/>
                <w:sz w:val="30"/>
                <w:szCs w:val="30"/>
              </w:rPr>
              <w:br w:type="textWrapping"/>
            </w:r>
            <w:r>
              <w:rPr>
                <w:rFonts w:hint="eastAsia" w:ascii="仿宋" w:hAnsi="仿宋" w:eastAsia="仿宋" w:cs="仿宋"/>
                <w:sz w:val="30"/>
                <w:szCs w:val="30"/>
              </w:rPr>
              <w:t>邮</w:t>
            </w:r>
            <w:r>
              <w:rPr>
                <w:rFonts w:hint="eastAsia" w:ascii="仿宋" w:hAnsi="仿宋" w:eastAsia="仿宋" w:cs="仿宋"/>
                <w:sz w:val="30"/>
                <w:szCs w:val="30"/>
                <w:lang w:val="en-US" w:eastAsia="zh-CN"/>
              </w:rPr>
              <w:t xml:space="preserve">  邮</w:t>
            </w:r>
            <w:r>
              <w:rPr>
                <w:rFonts w:hint="eastAsia" w:ascii="仿宋" w:hAnsi="仿宋" w:eastAsia="仿宋" w:cs="仿宋"/>
                <w:sz w:val="30"/>
                <w:szCs w:val="30"/>
              </w:rPr>
              <w:t>箱</w:t>
            </w:r>
            <w:r>
              <w:rPr>
                <w:rFonts w:hint="eastAsia" w:ascii="仿宋" w:hAnsi="仿宋" w:eastAsia="仿宋" w:cs="仿宋"/>
                <w:sz w:val="30"/>
                <w:szCs w:val="30"/>
                <w:lang w:val="en-US" w:eastAsia="zh-CN"/>
              </w:rPr>
              <w:t>:lunwen@cmcfo.cn</w:t>
            </w:r>
          </w:p>
          <w:p>
            <w:pPr>
              <w:widowControl/>
              <w:tabs>
                <w:tab w:val="left" w:pos="360"/>
                <w:tab w:val="left" w:pos="540"/>
              </w:tabs>
              <w:spacing w:line="120" w:lineRule="exact"/>
              <w:ind w:left="-425" w:leftChars="-203" w:right="-483" w:rightChars="-230" w:hanging="1"/>
              <w:jc w:val="left"/>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379" w:type="dxa"/>
            <w:gridSpan w:val="6"/>
            <w:tcBorders>
              <w:top w:val="single" w:color="auto" w:sz="4" w:space="0"/>
              <w:left w:val="single" w:color="auto" w:sz="4" w:space="0"/>
              <w:bottom w:val="single" w:color="auto" w:sz="4" w:space="0"/>
              <w:right w:val="single" w:color="auto" w:sz="4" w:space="0"/>
            </w:tcBorders>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会培训费共计：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 日</w:t>
            </w:r>
          </w:p>
        </w:tc>
      </w:tr>
    </w:tbl>
    <w:p>
      <w:pPr>
        <w:spacing w:line="400" w:lineRule="exact"/>
        <w:ind w:left="-425" w:leftChars="-203" w:right="-483" w:rightChars="-230" w:hanging="1"/>
        <w:rPr>
          <w:rFonts w:ascii="仿宋" w:hAnsi="仿宋" w:eastAsia="仿宋" w:cs="仿宋"/>
          <w:color w:val="000000"/>
          <w:spacing w:val="-20"/>
          <w:sz w:val="30"/>
          <w:szCs w:val="30"/>
          <w:shd w:val="clear" w:color="auto" w:fill="FFFFFF"/>
        </w:rPr>
      </w:pPr>
    </w:p>
    <w:p>
      <w:pPr>
        <w:widowControl/>
        <w:spacing w:line="440" w:lineRule="exact"/>
        <w:ind w:right="-483" w:rightChars="-230"/>
        <w:jc w:val="left"/>
        <w:rPr>
          <w:rFonts w:hint="eastAsia" w:ascii="仿宋" w:hAnsi="仿宋" w:eastAsia="仿宋" w:cs="仿宋"/>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Shruti"/>
    <w:panose1 w:val="02040503050406030204"/>
    <w:charset w:val="00"/>
    <w:family w:val="roman"/>
    <w:pitch w:val="default"/>
    <w:sig w:usb0="00000000" w:usb1="00000000" w:usb2="00000000" w:usb3="00000000" w:csb0="0000019F" w:csb1="00000000"/>
  </w:font>
  <w:font w:name="华文宋体籠适.">
    <w:altName w:val="宋体"/>
    <w:panose1 w:val="00000000000000000000"/>
    <w:charset w:val="86"/>
    <w:family w:val="roman"/>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
    <w:altName w:val="MS Mincho"/>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6" w:usb3="00000000" w:csb0="00040001" w:csb1="00000000"/>
  </w:font>
  <w:font w:name="MS Mincho">
    <w:panose1 w:val="02020609040205080304"/>
    <w:charset w:val="80"/>
    <w:family w:val="auto"/>
    <w:pitch w:val="default"/>
    <w:sig w:usb0="A00002BF" w:usb1="68C7FCFB" w:usb2="00000010" w:usb3="00000000" w:csb0="4002009F" w:csb1="DFD7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5A92"/>
    <w:multiLevelType w:val="multilevel"/>
    <w:tmpl w:val="4F355A92"/>
    <w:lvl w:ilvl="0" w:tentative="0">
      <w:start w:val="2"/>
      <w:numFmt w:val="japaneseCounting"/>
      <w:lvlText w:val="%1、"/>
      <w:lvlJc w:val="left"/>
      <w:pPr>
        <w:ind w:left="294" w:hanging="720"/>
      </w:pPr>
      <w:rPr>
        <w:rFonts w:hint="eastAsia"/>
      </w:rPr>
    </w:lvl>
    <w:lvl w:ilvl="1" w:tentative="0">
      <w:start w:val="1"/>
      <w:numFmt w:val="lowerLetter"/>
      <w:lvlText w:val="%2)"/>
      <w:lvlJc w:val="left"/>
      <w:pPr>
        <w:ind w:left="534" w:hanging="480"/>
      </w:pPr>
    </w:lvl>
    <w:lvl w:ilvl="2" w:tentative="0">
      <w:start w:val="1"/>
      <w:numFmt w:val="lowerRoman"/>
      <w:lvlText w:val="%3."/>
      <w:lvlJc w:val="right"/>
      <w:pPr>
        <w:ind w:left="1014" w:hanging="480"/>
      </w:pPr>
    </w:lvl>
    <w:lvl w:ilvl="3" w:tentative="0">
      <w:start w:val="1"/>
      <w:numFmt w:val="decimal"/>
      <w:lvlText w:val="%4."/>
      <w:lvlJc w:val="left"/>
      <w:pPr>
        <w:ind w:left="1494" w:hanging="480"/>
      </w:pPr>
    </w:lvl>
    <w:lvl w:ilvl="4" w:tentative="0">
      <w:start w:val="1"/>
      <w:numFmt w:val="lowerLetter"/>
      <w:lvlText w:val="%5)"/>
      <w:lvlJc w:val="left"/>
      <w:pPr>
        <w:ind w:left="1974" w:hanging="480"/>
      </w:pPr>
    </w:lvl>
    <w:lvl w:ilvl="5" w:tentative="0">
      <w:start w:val="1"/>
      <w:numFmt w:val="lowerRoman"/>
      <w:lvlText w:val="%6."/>
      <w:lvlJc w:val="right"/>
      <w:pPr>
        <w:ind w:left="2454" w:hanging="480"/>
      </w:pPr>
    </w:lvl>
    <w:lvl w:ilvl="6" w:tentative="0">
      <w:start w:val="1"/>
      <w:numFmt w:val="decimal"/>
      <w:lvlText w:val="%7."/>
      <w:lvlJc w:val="left"/>
      <w:pPr>
        <w:ind w:left="2934" w:hanging="480"/>
      </w:pPr>
    </w:lvl>
    <w:lvl w:ilvl="7" w:tentative="0">
      <w:start w:val="1"/>
      <w:numFmt w:val="lowerLetter"/>
      <w:lvlText w:val="%8)"/>
      <w:lvlJc w:val="left"/>
      <w:pPr>
        <w:ind w:left="3414" w:hanging="480"/>
      </w:pPr>
    </w:lvl>
    <w:lvl w:ilvl="8" w:tentative="0">
      <w:start w:val="1"/>
      <w:numFmt w:val="lowerRoman"/>
      <w:lvlText w:val="%9."/>
      <w:lvlJc w:val="right"/>
      <w:pPr>
        <w:ind w:left="3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12"/>
    <w:rsid w:val="000130B1"/>
    <w:rsid w:val="00016825"/>
    <w:rsid w:val="00016A58"/>
    <w:rsid w:val="00016D11"/>
    <w:rsid w:val="0002060D"/>
    <w:rsid w:val="00022778"/>
    <w:rsid w:val="000249D0"/>
    <w:rsid w:val="00026879"/>
    <w:rsid w:val="00026B09"/>
    <w:rsid w:val="000278BA"/>
    <w:rsid w:val="00033B3F"/>
    <w:rsid w:val="00034979"/>
    <w:rsid w:val="000355A7"/>
    <w:rsid w:val="000359E1"/>
    <w:rsid w:val="00036C0E"/>
    <w:rsid w:val="00042E05"/>
    <w:rsid w:val="00046639"/>
    <w:rsid w:val="00050717"/>
    <w:rsid w:val="000517ED"/>
    <w:rsid w:val="00051DA9"/>
    <w:rsid w:val="0005389E"/>
    <w:rsid w:val="00060630"/>
    <w:rsid w:val="0006103F"/>
    <w:rsid w:val="00062675"/>
    <w:rsid w:val="0007110A"/>
    <w:rsid w:val="0007248D"/>
    <w:rsid w:val="0007435C"/>
    <w:rsid w:val="000760ED"/>
    <w:rsid w:val="0008074B"/>
    <w:rsid w:val="0009058B"/>
    <w:rsid w:val="00093F0E"/>
    <w:rsid w:val="00095886"/>
    <w:rsid w:val="00096A6B"/>
    <w:rsid w:val="000A2D3A"/>
    <w:rsid w:val="000A3CB2"/>
    <w:rsid w:val="000A54B9"/>
    <w:rsid w:val="000A7CF0"/>
    <w:rsid w:val="000B0FA6"/>
    <w:rsid w:val="000B1737"/>
    <w:rsid w:val="000B2806"/>
    <w:rsid w:val="000B3F57"/>
    <w:rsid w:val="000B4970"/>
    <w:rsid w:val="000B4A1E"/>
    <w:rsid w:val="000C0066"/>
    <w:rsid w:val="000C0551"/>
    <w:rsid w:val="000C1083"/>
    <w:rsid w:val="000C15FE"/>
    <w:rsid w:val="000C16D5"/>
    <w:rsid w:val="000C653C"/>
    <w:rsid w:val="000C7D7E"/>
    <w:rsid w:val="000D01BC"/>
    <w:rsid w:val="000D292C"/>
    <w:rsid w:val="000D2F2E"/>
    <w:rsid w:val="000D5FD0"/>
    <w:rsid w:val="000D5FEB"/>
    <w:rsid w:val="000E0569"/>
    <w:rsid w:val="000E3EDA"/>
    <w:rsid w:val="000E638A"/>
    <w:rsid w:val="000E6EE2"/>
    <w:rsid w:val="000F07C7"/>
    <w:rsid w:val="000F215E"/>
    <w:rsid w:val="000F2800"/>
    <w:rsid w:val="000F32D6"/>
    <w:rsid w:val="000F4F18"/>
    <w:rsid w:val="000F5A0D"/>
    <w:rsid w:val="00103462"/>
    <w:rsid w:val="00106ACA"/>
    <w:rsid w:val="001110F1"/>
    <w:rsid w:val="00113753"/>
    <w:rsid w:val="00113E74"/>
    <w:rsid w:val="00115AEB"/>
    <w:rsid w:val="00116036"/>
    <w:rsid w:val="00120B36"/>
    <w:rsid w:val="0012171B"/>
    <w:rsid w:val="00122189"/>
    <w:rsid w:val="00124661"/>
    <w:rsid w:val="00124E3A"/>
    <w:rsid w:val="00130349"/>
    <w:rsid w:val="00133CC4"/>
    <w:rsid w:val="0013779B"/>
    <w:rsid w:val="00141372"/>
    <w:rsid w:val="0014158A"/>
    <w:rsid w:val="00147937"/>
    <w:rsid w:val="00152C1A"/>
    <w:rsid w:val="00152DAD"/>
    <w:rsid w:val="00155E00"/>
    <w:rsid w:val="0015687B"/>
    <w:rsid w:val="00170621"/>
    <w:rsid w:val="00172A27"/>
    <w:rsid w:val="0017351F"/>
    <w:rsid w:val="00174D20"/>
    <w:rsid w:val="0017588E"/>
    <w:rsid w:val="001772C4"/>
    <w:rsid w:val="00181F1C"/>
    <w:rsid w:val="00182919"/>
    <w:rsid w:val="00185790"/>
    <w:rsid w:val="001862CC"/>
    <w:rsid w:val="00190D92"/>
    <w:rsid w:val="00191511"/>
    <w:rsid w:val="00194FCF"/>
    <w:rsid w:val="001968B9"/>
    <w:rsid w:val="001A2A77"/>
    <w:rsid w:val="001B093D"/>
    <w:rsid w:val="001B0B7F"/>
    <w:rsid w:val="001C3EEE"/>
    <w:rsid w:val="001C59B9"/>
    <w:rsid w:val="001C6180"/>
    <w:rsid w:val="001D761B"/>
    <w:rsid w:val="001D7DA3"/>
    <w:rsid w:val="001E0EF1"/>
    <w:rsid w:val="001E5851"/>
    <w:rsid w:val="001E69D4"/>
    <w:rsid w:val="001E6C5B"/>
    <w:rsid w:val="001F25E0"/>
    <w:rsid w:val="001F26D0"/>
    <w:rsid w:val="001F38F4"/>
    <w:rsid w:val="001F4CB0"/>
    <w:rsid w:val="001F5E18"/>
    <w:rsid w:val="001F6D0F"/>
    <w:rsid w:val="001F7AF8"/>
    <w:rsid w:val="002005D2"/>
    <w:rsid w:val="00201979"/>
    <w:rsid w:val="00204C15"/>
    <w:rsid w:val="00205527"/>
    <w:rsid w:val="00212150"/>
    <w:rsid w:val="00214D2A"/>
    <w:rsid w:val="0022434B"/>
    <w:rsid w:val="00225CEA"/>
    <w:rsid w:val="00225D07"/>
    <w:rsid w:val="00226075"/>
    <w:rsid w:val="00226E13"/>
    <w:rsid w:val="00227963"/>
    <w:rsid w:val="002300AD"/>
    <w:rsid w:val="00237D57"/>
    <w:rsid w:val="002434BC"/>
    <w:rsid w:val="00246D66"/>
    <w:rsid w:val="002514AB"/>
    <w:rsid w:val="00255289"/>
    <w:rsid w:val="00260034"/>
    <w:rsid w:val="00262664"/>
    <w:rsid w:val="00262A09"/>
    <w:rsid w:val="002638B2"/>
    <w:rsid w:val="002651E2"/>
    <w:rsid w:val="00273850"/>
    <w:rsid w:val="00280F11"/>
    <w:rsid w:val="002817E0"/>
    <w:rsid w:val="00284967"/>
    <w:rsid w:val="002853FD"/>
    <w:rsid w:val="0028696C"/>
    <w:rsid w:val="00286DDE"/>
    <w:rsid w:val="002936D6"/>
    <w:rsid w:val="00294E69"/>
    <w:rsid w:val="002A115A"/>
    <w:rsid w:val="002A35E0"/>
    <w:rsid w:val="002A4663"/>
    <w:rsid w:val="002A50A4"/>
    <w:rsid w:val="002A6609"/>
    <w:rsid w:val="002B0023"/>
    <w:rsid w:val="002B1A1A"/>
    <w:rsid w:val="002B2D7E"/>
    <w:rsid w:val="002B57D4"/>
    <w:rsid w:val="002C2082"/>
    <w:rsid w:val="002C5648"/>
    <w:rsid w:val="002C6E24"/>
    <w:rsid w:val="002C6E99"/>
    <w:rsid w:val="002D53A9"/>
    <w:rsid w:val="002D55B9"/>
    <w:rsid w:val="002D7546"/>
    <w:rsid w:val="002E5C46"/>
    <w:rsid w:val="002F6181"/>
    <w:rsid w:val="002F6B3F"/>
    <w:rsid w:val="00304350"/>
    <w:rsid w:val="00306710"/>
    <w:rsid w:val="00307172"/>
    <w:rsid w:val="00307C23"/>
    <w:rsid w:val="00314CB0"/>
    <w:rsid w:val="00314F86"/>
    <w:rsid w:val="00315571"/>
    <w:rsid w:val="003201A3"/>
    <w:rsid w:val="003244E7"/>
    <w:rsid w:val="00324E8A"/>
    <w:rsid w:val="00333A7D"/>
    <w:rsid w:val="003378EB"/>
    <w:rsid w:val="00337F15"/>
    <w:rsid w:val="0034368D"/>
    <w:rsid w:val="00350635"/>
    <w:rsid w:val="00351713"/>
    <w:rsid w:val="003567AF"/>
    <w:rsid w:val="003570A8"/>
    <w:rsid w:val="00360F24"/>
    <w:rsid w:val="00363465"/>
    <w:rsid w:val="003639FD"/>
    <w:rsid w:val="003729BA"/>
    <w:rsid w:val="00374197"/>
    <w:rsid w:val="00376EA6"/>
    <w:rsid w:val="0038046F"/>
    <w:rsid w:val="00383FAD"/>
    <w:rsid w:val="00387E45"/>
    <w:rsid w:val="003943CF"/>
    <w:rsid w:val="00395AC6"/>
    <w:rsid w:val="00395F80"/>
    <w:rsid w:val="003971BB"/>
    <w:rsid w:val="003A0586"/>
    <w:rsid w:val="003A2791"/>
    <w:rsid w:val="003A2C65"/>
    <w:rsid w:val="003A31BC"/>
    <w:rsid w:val="003A762B"/>
    <w:rsid w:val="003B1589"/>
    <w:rsid w:val="003B72F5"/>
    <w:rsid w:val="003C1C65"/>
    <w:rsid w:val="003C3CB7"/>
    <w:rsid w:val="003C772B"/>
    <w:rsid w:val="003D20E1"/>
    <w:rsid w:val="003D270E"/>
    <w:rsid w:val="003E0CBA"/>
    <w:rsid w:val="003E2B72"/>
    <w:rsid w:val="003E3C24"/>
    <w:rsid w:val="003E4411"/>
    <w:rsid w:val="003F052F"/>
    <w:rsid w:val="003F2F5A"/>
    <w:rsid w:val="003F63FE"/>
    <w:rsid w:val="00400270"/>
    <w:rsid w:val="00400A28"/>
    <w:rsid w:val="00401EBB"/>
    <w:rsid w:val="004034D0"/>
    <w:rsid w:val="004043A7"/>
    <w:rsid w:val="004049A2"/>
    <w:rsid w:val="00410043"/>
    <w:rsid w:val="00415375"/>
    <w:rsid w:val="00417733"/>
    <w:rsid w:val="00424C44"/>
    <w:rsid w:val="0042746E"/>
    <w:rsid w:val="00432349"/>
    <w:rsid w:val="00432BD6"/>
    <w:rsid w:val="00432E24"/>
    <w:rsid w:val="00433964"/>
    <w:rsid w:val="00434678"/>
    <w:rsid w:val="004374D6"/>
    <w:rsid w:val="00437A82"/>
    <w:rsid w:val="00442550"/>
    <w:rsid w:val="00442871"/>
    <w:rsid w:val="004430F2"/>
    <w:rsid w:val="00443CE5"/>
    <w:rsid w:val="00443DD0"/>
    <w:rsid w:val="0044439D"/>
    <w:rsid w:val="0044773C"/>
    <w:rsid w:val="00454EFF"/>
    <w:rsid w:val="00460B2D"/>
    <w:rsid w:val="004715EC"/>
    <w:rsid w:val="00471950"/>
    <w:rsid w:val="00473257"/>
    <w:rsid w:val="00475CB8"/>
    <w:rsid w:val="00475EEA"/>
    <w:rsid w:val="00476D3A"/>
    <w:rsid w:val="00481DC3"/>
    <w:rsid w:val="00482FF9"/>
    <w:rsid w:val="004872B2"/>
    <w:rsid w:val="0049278F"/>
    <w:rsid w:val="00492C96"/>
    <w:rsid w:val="004944FE"/>
    <w:rsid w:val="00495BF4"/>
    <w:rsid w:val="004A1405"/>
    <w:rsid w:val="004A237C"/>
    <w:rsid w:val="004A2CD3"/>
    <w:rsid w:val="004A3FD0"/>
    <w:rsid w:val="004A4C6D"/>
    <w:rsid w:val="004A586A"/>
    <w:rsid w:val="004A70CB"/>
    <w:rsid w:val="004A78CB"/>
    <w:rsid w:val="004B2C9A"/>
    <w:rsid w:val="004B34B8"/>
    <w:rsid w:val="004B3D56"/>
    <w:rsid w:val="004B4070"/>
    <w:rsid w:val="004B77DA"/>
    <w:rsid w:val="004C29B7"/>
    <w:rsid w:val="004C36EE"/>
    <w:rsid w:val="004C3D24"/>
    <w:rsid w:val="004C72DB"/>
    <w:rsid w:val="004D198F"/>
    <w:rsid w:val="004D3723"/>
    <w:rsid w:val="004D4872"/>
    <w:rsid w:val="004D5128"/>
    <w:rsid w:val="004E03FE"/>
    <w:rsid w:val="004E0E38"/>
    <w:rsid w:val="004E1AE6"/>
    <w:rsid w:val="004E1BC2"/>
    <w:rsid w:val="004E5B40"/>
    <w:rsid w:val="004F0571"/>
    <w:rsid w:val="004F07F4"/>
    <w:rsid w:val="004F55BD"/>
    <w:rsid w:val="004F65E7"/>
    <w:rsid w:val="0050138F"/>
    <w:rsid w:val="005015E8"/>
    <w:rsid w:val="005031E3"/>
    <w:rsid w:val="005050CE"/>
    <w:rsid w:val="005057BF"/>
    <w:rsid w:val="00506D02"/>
    <w:rsid w:val="00507DB0"/>
    <w:rsid w:val="00513BA2"/>
    <w:rsid w:val="0051485D"/>
    <w:rsid w:val="005163A2"/>
    <w:rsid w:val="00517F4E"/>
    <w:rsid w:val="00517FA1"/>
    <w:rsid w:val="00520920"/>
    <w:rsid w:val="005221EB"/>
    <w:rsid w:val="00525F56"/>
    <w:rsid w:val="00527712"/>
    <w:rsid w:val="00530C75"/>
    <w:rsid w:val="005318F7"/>
    <w:rsid w:val="00531CBB"/>
    <w:rsid w:val="00533755"/>
    <w:rsid w:val="00533DC3"/>
    <w:rsid w:val="0053405C"/>
    <w:rsid w:val="0053459F"/>
    <w:rsid w:val="00534D72"/>
    <w:rsid w:val="005368E9"/>
    <w:rsid w:val="005422E2"/>
    <w:rsid w:val="00542D22"/>
    <w:rsid w:val="005501B6"/>
    <w:rsid w:val="0056136A"/>
    <w:rsid w:val="00561EAF"/>
    <w:rsid w:val="00562547"/>
    <w:rsid w:val="00562CE4"/>
    <w:rsid w:val="00565077"/>
    <w:rsid w:val="00565110"/>
    <w:rsid w:val="00565A52"/>
    <w:rsid w:val="00566184"/>
    <w:rsid w:val="005678C0"/>
    <w:rsid w:val="00567C76"/>
    <w:rsid w:val="00570115"/>
    <w:rsid w:val="00570320"/>
    <w:rsid w:val="005767BE"/>
    <w:rsid w:val="00580BDC"/>
    <w:rsid w:val="00582884"/>
    <w:rsid w:val="005849F3"/>
    <w:rsid w:val="00584E00"/>
    <w:rsid w:val="00587592"/>
    <w:rsid w:val="005904D2"/>
    <w:rsid w:val="005910B3"/>
    <w:rsid w:val="00594146"/>
    <w:rsid w:val="00595938"/>
    <w:rsid w:val="005A2D0F"/>
    <w:rsid w:val="005A3A68"/>
    <w:rsid w:val="005A4D8D"/>
    <w:rsid w:val="005A7D75"/>
    <w:rsid w:val="005B3FF0"/>
    <w:rsid w:val="005B5007"/>
    <w:rsid w:val="005B58FA"/>
    <w:rsid w:val="005C00FE"/>
    <w:rsid w:val="005C04E4"/>
    <w:rsid w:val="005C15EC"/>
    <w:rsid w:val="005C2B82"/>
    <w:rsid w:val="005C3AE1"/>
    <w:rsid w:val="005C4E02"/>
    <w:rsid w:val="005D0E79"/>
    <w:rsid w:val="005D4013"/>
    <w:rsid w:val="005D6CFF"/>
    <w:rsid w:val="005D6EE8"/>
    <w:rsid w:val="005E2DF6"/>
    <w:rsid w:val="005E39B0"/>
    <w:rsid w:val="005E6C04"/>
    <w:rsid w:val="005E75A8"/>
    <w:rsid w:val="005E7D5B"/>
    <w:rsid w:val="005F29CA"/>
    <w:rsid w:val="005F3275"/>
    <w:rsid w:val="005F6755"/>
    <w:rsid w:val="00600311"/>
    <w:rsid w:val="006005D0"/>
    <w:rsid w:val="006029EB"/>
    <w:rsid w:val="00605D5A"/>
    <w:rsid w:val="0061042F"/>
    <w:rsid w:val="00612B7A"/>
    <w:rsid w:val="00612B98"/>
    <w:rsid w:val="006157F1"/>
    <w:rsid w:val="00621057"/>
    <w:rsid w:val="00624147"/>
    <w:rsid w:val="0063180F"/>
    <w:rsid w:val="00633B55"/>
    <w:rsid w:val="00636B9F"/>
    <w:rsid w:val="00641044"/>
    <w:rsid w:val="00642808"/>
    <w:rsid w:val="0064578C"/>
    <w:rsid w:val="00652EB1"/>
    <w:rsid w:val="00654B09"/>
    <w:rsid w:val="00657075"/>
    <w:rsid w:val="006579D1"/>
    <w:rsid w:val="006613AD"/>
    <w:rsid w:val="00661A8B"/>
    <w:rsid w:val="006628FA"/>
    <w:rsid w:val="00666E9D"/>
    <w:rsid w:val="00671DC8"/>
    <w:rsid w:val="00671EC2"/>
    <w:rsid w:val="006725F3"/>
    <w:rsid w:val="00674F99"/>
    <w:rsid w:val="00675444"/>
    <w:rsid w:val="006772F1"/>
    <w:rsid w:val="00677FCA"/>
    <w:rsid w:val="00683BDD"/>
    <w:rsid w:val="00690032"/>
    <w:rsid w:val="0069042F"/>
    <w:rsid w:val="006908F8"/>
    <w:rsid w:val="006952E8"/>
    <w:rsid w:val="00697C11"/>
    <w:rsid w:val="006A201C"/>
    <w:rsid w:val="006A7FB1"/>
    <w:rsid w:val="006B3532"/>
    <w:rsid w:val="006B712B"/>
    <w:rsid w:val="006C0986"/>
    <w:rsid w:val="006C16A9"/>
    <w:rsid w:val="006C3DF0"/>
    <w:rsid w:val="006C5A18"/>
    <w:rsid w:val="006C6333"/>
    <w:rsid w:val="006D313C"/>
    <w:rsid w:val="006D4C7D"/>
    <w:rsid w:val="006E0459"/>
    <w:rsid w:val="006E1520"/>
    <w:rsid w:val="006E1F7E"/>
    <w:rsid w:val="006E2A44"/>
    <w:rsid w:val="006F0B1D"/>
    <w:rsid w:val="006F0DE5"/>
    <w:rsid w:val="006F1555"/>
    <w:rsid w:val="006F21C5"/>
    <w:rsid w:val="006F2DA7"/>
    <w:rsid w:val="00702546"/>
    <w:rsid w:val="0070541E"/>
    <w:rsid w:val="00705C1B"/>
    <w:rsid w:val="007124CA"/>
    <w:rsid w:val="00714495"/>
    <w:rsid w:val="00721C13"/>
    <w:rsid w:val="00722CC9"/>
    <w:rsid w:val="00724411"/>
    <w:rsid w:val="00725CB7"/>
    <w:rsid w:val="007332CA"/>
    <w:rsid w:val="00735361"/>
    <w:rsid w:val="00745C1B"/>
    <w:rsid w:val="007471FE"/>
    <w:rsid w:val="00747BC1"/>
    <w:rsid w:val="00752027"/>
    <w:rsid w:val="007551CC"/>
    <w:rsid w:val="00757EAC"/>
    <w:rsid w:val="007620D9"/>
    <w:rsid w:val="00762491"/>
    <w:rsid w:val="00762B5D"/>
    <w:rsid w:val="00763125"/>
    <w:rsid w:val="007636CE"/>
    <w:rsid w:val="0076454A"/>
    <w:rsid w:val="00764B6A"/>
    <w:rsid w:val="007703B6"/>
    <w:rsid w:val="00770E23"/>
    <w:rsid w:val="007713E1"/>
    <w:rsid w:val="00772B33"/>
    <w:rsid w:val="007762B4"/>
    <w:rsid w:val="007776AF"/>
    <w:rsid w:val="007824CA"/>
    <w:rsid w:val="00783537"/>
    <w:rsid w:val="00786AFE"/>
    <w:rsid w:val="00790DCA"/>
    <w:rsid w:val="00791917"/>
    <w:rsid w:val="00793789"/>
    <w:rsid w:val="007A053B"/>
    <w:rsid w:val="007A2E5C"/>
    <w:rsid w:val="007A5EC9"/>
    <w:rsid w:val="007A7E04"/>
    <w:rsid w:val="007B526E"/>
    <w:rsid w:val="007B6CD2"/>
    <w:rsid w:val="007C2DEC"/>
    <w:rsid w:val="007C4605"/>
    <w:rsid w:val="007C46F5"/>
    <w:rsid w:val="007C7B65"/>
    <w:rsid w:val="007D1B66"/>
    <w:rsid w:val="007D233A"/>
    <w:rsid w:val="007D3952"/>
    <w:rsid w:val="007D3D98"/>
    <w:rsid w:val="007D4440"/>
    <w:rsid w:val="007D4A46"/>
    <w:rsid w:val="007D4D27"/>
    <w:rsid w:val="007D621C"/>
    <w:rsid w:val="007D6C12"/>
    <w:rsid w:val="007D7EFE"/>
    <w:rsid w:val="007E0D37"/>
    <w:rsid w:val="007E1353"/>
    <w:rsid w:val="007E6978"/>
    <w:rsid w:val="007F0651"/>
    <w:rsid w:val="007F09F9"/>
    <w:rsid w:val="007F37FB"/>
    <w:rsid w:val="007F43DE"/>
    <w:rsid w:val="007F5B2E"/>
    <w:rsid w:val="007F67E1"/>
    <w:rsid w:val="008022AD"/>
    <w:rsid w:val="0081094E"/>
    <w:rsid w:val="008125F5"/>
    <w:rsid w:val="00812F92"/>
    <w:rsid w:val="00813630"/>
    <w:rsid w:val="00816D42"/>
    <w:rsid w:val="00820CFD"/>
    <w:rsid w:val="00821AF5"/>
    <w:rsid w:val="0082660C"/>
    <w:rsid w:val="00830418"/>
    <w:rsid w:val="00831BA5"/>
    <w:rsid w:val="00832C61"/>
    <w:rsid w:val="008345D4"/>
    <w:rsid w:val="00836E89"/>
    <w:rsid w:val="00840BED"/>
    <w:rsid w:val="008414B0"/>
    <w:rsid w:val="00841745"/>
    <w:rsid w:val="008417DC"/>
    <w:rsid w:val="00841A94"/>
    <w:rsid w:val="00841E06"/>
    <w:rsid w:val="00844E51"/>
    <w:rsid w:val="00846F32"/>
    <w:rsid w:val="00855AEE"/>
    <w:rsid w:val="008603A6"/>
    <w:rsid w:val="00861AF2"/>
    <w:rsid w:val="0086466A"/>
    <w:rsid w:val="00866DEC"/>
    <w:rsid w:val="0087211C"/>
    <w:rsid w:val="00872666"/>
    <w:rsid w:val="00876A2B"/>
    <w:rsid w:val="00877FDD"/>
    <w:rsid w:val="008839BC"/>
    <w:rsid w:val="008902D1"/>
    <w:rsid w:val="00890E28"/>
    <w:rsid w:val="00892F87"/>
    <w:rsid w:val="0089673A"/>
    <w:rsid w:val="008973F7"/>
    <w:rsid w:val="008978A9"/>
    <w:rsid w:val="00897B6A"/>
    <w:rsid w:val="008A5209"/>
    <w:rsid w:val="008A6948"/>
    <w:rsid w:val="008A70AD"/>
    <w:rsid w:val="008A7D96"/>
    <w:rsid w:val="008B1371"/>
    <w:rsid w:val="008C38F3"/>
    <w:rsid w:val="008C4074"/>
    <w:rsid w:val="008C5E35"/>
    <w:rsid w:val="008C7742"/>
    <w:rsid w:val="008D62C0"/>
    <w:rsid w:val="008E38CD"/>
    <w:rsid w:val="008E429A"/>
    <w:rsid w:val="008E5F12"/>
    <w:rsid w:val="008E6058"/>
    <w:rsid w:val="008E7A2E"/>
    <w:rsid w:val="008F0BE9"/>
    <w:rsid w:val="008F2300"/>
    <w:rsid w:val="008F3A10"/>
    <w:rsid w:val="008F5151"/>
    <w:rsid w:val="008F6CB5"/>
    <w:rsid w:val="008F7AB3"/>
    <w:rsid w:val="00901CC3"/>
    <w:rsid w:val="00906920"/>
    <w:rsid w:val="00907D4B"/>
    <w:rsid w:val="00910022"/>
    <w:rsid w:val="0091283A"/>
    <w:rsid w:val="00912973"/>
    <w:rsid w:val="00920B3B"/>
    <w:rsid w:val="009261C7"/>
    <w:rsid w:val="00926DB4"/>
    <w:rsid w:val="00931933"/>
    <w:rsid w:val="009329A3"/>
    <w:rsid w:val="00936878"/>
    <w:rsid w:val="00940159"/>
    <w:rsid w:val="009405A4"/>
    <w:rsid w:val="0094377F"/>
    <w:rsid w:val="00944693"/>
    <w:rsid w:val="00946419"/>
    <w:rsid w:val="00950E41"/>
    <w:rsid w:val="00953323"/>
    <w:rsid w:val="009573C5"/>
    <w:rsid w:val="0096014B"/>
    <w:rsid w:val="009604D0"/>
    <w:rsid w:val="0096066C"/>
    <w:rsid w:val="00960D64"/>
    <w:rsid w:val="0097252A"/>
    <w:rsid w:val="0097315B"/>
    <w:rsid w:val="00975E89"/>
    <w:rsid w:val="00976B39"/>
    <w:rsid w:val="009771BB"/>
    <w:rsid w:val="00977463"/>
    <w:rsid w:val="00983806"/>
    <w:rsid w:val="00983DA6"/>
    <w:rsid w:val="00985A6F"/>
    <w:rsid w:val="00991EEA"/>
    <w:rsid w:val="009926CA"/>
    <w:rsid w:val="009953D0"/>
    <w:rsid w:val="009A14E1"/>
    <w:rsid w:val="009A55E3"/>
    <w:rsid w:val="009B286A"/>
    <w:rsid w:val="009B3DC4"/>
    <w:rsid w:val="009C0310"/>
    <w:rsid w:val="009C2F53"/>
    <w:rsid w:val="009C4202"/>
    <w:rsid w:val="009C57B8"/>
    <w:rsid w:val="009C582E"/>
    <w:rsid w:val="009C6EAC"/>
    <w:rsid w:val="009C7529"/>
    <w:rsid w:val="009D1F08"/>
    <w:rsid w:val="009D3B15"/>
    <w:rsid w:val="009D4104"/>
    <w:rsid w:val="009D54DE"/>
    <w:rsid w:val="009D5F5E"/>
    <w:rsid w:val="009D6BAE"/>
    <w:rsid w:val="009E0BD3"/>
    <w:rsid w:val="009E6336"/>
    <w:rsid w:val="009F0281"/>
    <w:rsid w:val="009F21C4"/>
    <w:rsid w:val="009F721A"/>
    <w:rsid w:val="00A0050D"/>
    <w:rsid w:val="00A00A2A"/>
    <w:rsid w:val="00A0176C"/>
    <w:rsid w:val="00A118A6"/>
    <w:rsid w:val="00A13622"/>
    <w:rsid w:val="00A160C0"/>
    <w:rsid w:val="00A16D54"/>
    <w:rsid w:val="00A202C4"/>
    <w:rsid w:val="00A20509"/>
    <w:rsid w:val="00A208A5"/>
    <w:rsid w:val="00A235B9"/>
    <w:rsid w:val="00A2536C"/>
    <w:rsid w:val="00A255E7"/>
    <w:rsid w:val="00A323E9"/>
    <w:rsid w:val="00A32FDA"/>
    <w:rsid w:val="00A34C32"/>
    <w:rsid w:val="00A363D0"/>
    <w:rsid w:val="00A43DE6"/>
    <w:rsid w:val="00A45793"/>
    <w:rsid w:val="00A52128"/>
    <w:rsid w:val="00A57B17"/>
    <w:rsid w:val="00A62E65"/>
    <w:rsid w:val="00A62F4F"/>
    <w:rsid w:val="00A64B7D"/>
    <w:rsid w:val="00A679A2"/>
    <w:rsid w:val="00A67B61"/>
    <w:rsid w:val="00A704E5"/>
    <w:rsid w:val="00A710CD"/>
    <w:rsid w:val="00A75F19"/>
    <w:rsid w:val="00A77126"/>
    <w:rsid w:val="00A77455"/>
    <w:rsid w:val="00A81369"/>
    <w:rsid w:val="00A84430"/>
    <w:rsid w:val="00A93852"/>
    <w:rsid w:val="00A93D40"/>
    <w:rsid w:val="00A965B0"/>
    <w:rsid w:val="00A9763D"/>
    <w:rsid w:val="00AA076F"/>
    <w:rsid w:val="00AA0F21"/>
    <w:rsid w:val="00AA18FB"/>
    <w:rsid w:val="00AA1CA9"/>
    <w:rsid w:val="00AA30F4"/>
    <w:rsid w:val="00AA35E6"/>
    <w:rsid w:val="00AA3FB8"/>
    <w:rsid w:val="00AA4C64"/>
    <w:rsid w:val="00AA5474"/>
    <w:rsid w:val="00AA616E"/>
    <w:rsid w:val="00AA7798"/>
    <w:rsid w:val="00AB016A"/>
    <w:rsid w:val="00AB09EA"/>
    <w:rsid w:val="00AB1371"/>
    <w:rsid w:val="00AB3DDA"/>
    <w:rsid w:val="00AC10AA"/>
    <w:rsid w:val="00AC5AE1"/>
    <w:rsid w:val="00AC6DE5"/>
    <w:rsid w:val="00AC7CCC"/>
    <w:rsid w:val="00AD2F9A"/>
    <w:rsid w:val="00AD3624"/>
    <w:rsid w:val="00AD364C"/>
    <w:rsid w:val="00AD38D4"/>
    <w:rsid w:val="00AD5747"/>
    <w:rsid w:val="00AD6BE3"/>
    <w:rsid w:val="00AE02A4"/>
    <w:rsid w:val="00AE0E0A"/>
    <w:rsid w:val="00AE1814"/>
    <w:rsid w:val="00AE1D97"/>
    <w:rsid w:val="00AE4408"/>
    <w:rsid w:val="00AE59B7"/>
    <w:rsid w:val="00AE6F92"/>
    <w:rsid w:val="00AE7165"/>
    <w:rsid w:val="00AF56E8"/>
    <w:rsid w:val="00B009B9"/>
    <w:rsid w:val="00B0181F"/>
    <w:rsid w:val="00B0197B"/>
    <w:rsid w:val="00B01DDF"/>
    <w:rsid w:val="00B04181"/>
    <w:rsid w:val="00B041D4"/>
    <w:rsid w:val="00B10483"/>
    <w:rsid w:val="00B11A91"/>
    <w:rsid w:val="00B1219A"/>
    <w:rsid w:val="00B13604"/>
    <w:rsid w:val="00B16254"/>
    <w:rsid w:val="00B20360"/>
    <w:rsid w:val="00B20FF3"/>
    <w:rsid w:val="00B25D4F"/>
    <w:rsid w:val="00B265EE"/>
    <w:rsid w:val="00B26756"/>
    <w:rsid w:val="00B27E17"/>
    <w:rsid w:val="00B3012B"/>
    <w:rsid w:val="00B33BDA"/>
    <w:rsid w:val="00B423D7"/>
    <w:rsid w:val="00B42B6F"/>
    <w:rsid w:val="00B43CD9"/>
    <w:rsid w:val="00B43F6D"/>
    <w:rsid w:val="00B46A9C"/>
    <w:rsid w:val="00B524ED"/>
    <w:rsid w:val="00B555B3"/>
    <w:rsid w:val="00B57438"/>
    <w:rsid w:val="00B57F38"/>
    <w:rsid w:val="00B60D9C"/>
    <w:rsid w:val="00B62AC5"/>
    <w:rsid w:val="00B6350D"/>
    <w:rsid w:val="00B64CFB"/>
    <w:rsid w:val="00B734F7"/>
    <w:rsid w:val="00B737E4"/>
    <w:rsid w:val="00B80A96"/>
    <w:rsid w:val="00B860D2"/>
    <w:rsid w:val="00B86FD6"/>
    <w:rsid w:val="00B910BA"/>
    <w:rsid w:val="00B93FDE"/>
    <w:rsid w:val="00B95843"/>
    <w:rsid w:val="00B95A1A"/>
    <w:rsid w:val="00B9681E"/>
    <w:rsid w:val="00BA2327"/>
    <w:rsid w:val="00BA2383"/>
    <w:rsid w:val="00BA43AA"/>
    <w:rsid w:val="00BA4E7E"/>
    <w:rsid w:val="00BA5F7D"/>
    <w:rsid w:val="00BA612E"/>
    <w:rsid w:val="00BA663D"/>
    <w:rsid w:val="00BB53AA"/>
    <w:rsid w:val="00BC06EC"/>
    <w:rsid w:val="00BC5CE7"/>
    <w:rsid w:val="00BC5DB4"/>
    <w:rsid w:val="00BC633F"/>
    <w:rsid w:val="00BC6C7B"/>
    <w:rsid w:val="00BC6D9B"/>
    <w:rsid w:val="00BC758F"/>
    <w:rsid w:val="00BD08B1"/>
    <w:rsid w:val="00BD0BA5"/>
    <w:rsid w:val="00BD2F5C"/>
    <w:rsid w:val="00BD2FCE"/>
    <w:rsid w:val="00BE18D6"/>
    <w:rsid w:val="00BE4465"/>
    <w:rsid w:val="00BF01A4"/>
    <w:rsid w:val="00BF421F"/>
    <w:rsid w:val="00BF5855"/>
    <w:rsid w:val="00BF58D5"/>
    <w:rsid w:val="00BF5A5B"/>
    <w:rsid w:val="00BF5BA8"/>
    <w:rsid w:val="00BF5BB9"/>
    <w:rsid w:val="00C04161"/>
    <w:rsid w:val="00C04329"/>
    <w:rsid w:val="00C07C68"/>
    <w:rsid w:val="00C1129E"/>
    <w:rsid w:val="00C15879"/>
    <w:rsid w:val="00C15E21"/>
    <w:rsid w:val="00C16435"/>
    <w:rsid w:val="00C17686"/>
    <w:rsid w:val="00C17B4C"/>
    <w:rsid w:val="00C2079B"/>
    <w:rsid w:val="00C21A8B"/>
    <w:rsid w:val="00C27549"/>
    <w:rsid w:val="00C27583"/>
    <w:rsid w:val="00C31DC9"/>
    <w:rsid w:val="00C34E1B"/>
    <w:rsid w:val="00C350A2"/>
    <w:rsid w:val="00C369D7"/>
    <w:rsid w:val="00C36D76"/>
    <w:rsid w:val="00C40B16"/>
    <w:rsid w:val="00C43630"/>
    <w:rsid w:val="00C47E0B"/>
    <w:rsid w:val="00C50242"/>
    <w:rsid w:val="00C54513"/>
    <w:rsid w:val="00C54B87"/>
    <w:rsid w:val="00C559B6"/>
    <w:rsid w:val="00C5601A"/>
    <w:rsid w:val="00C603A4"/>
    <w:rsid w:val="00C63069"/>
    <w:rsid w:val="00C64A18"/>
    <w:rsid w:val="00C668E6"/>
    <w:rsid w:val="00C714DC"/>
    <w:rsid w:val="00C71511"/>
    <w:rsid w:val="00C80B30"/>
    <w:rsid w:val="00C8116A"/>
    <w:rsid w:val="00C818A5"/>
    <w:rsid w:val="00C82DAC"/>
    <w:rsid w:val="00C86AA0"/>
    <w:rsid w:val="00C87111"/>
    <w:rsid w:val="00C916A8"/>
    <w:rsid w:val="00C92C08"/>
    <w:rsid w:val="00C92CA2"/>
    <w:rsid w:val="00CA493E"/>
    <w:rsid w:val="00CA7183"/>
    <w:rsid w:val="00CB2252"/>
    <w:rsid w:val="00CB354A"/>
    <w:rsid w:val="00CD08A3"/>
    <w:rsid w:val="00CD10A2"/>
    <w:rsid w:val="00CD6ECF"/>
    <w:rsid w:val="00CE019B"/>
    <w:rsid w:val="00CE1015"/>
    <w:rsid w:val="00CE1C50"/>
    <w:rsid w:val="00CE37C1"/>
    <w:rsid w:val="00CE3839"/>
    <w:rsid w:val="00CE44BB"/>
    <w:rsid w:val="00CE6AD3"/>
    <w:rsid w:val="00CE743E"/>
    <w:rsid w:val="00CF0AE8"/>
    <w:rsid w:val="00CF3726"/>
    <w:rsid w:val="00CF3CD0"/>
    <w:rsid w:val="00D03A40"/>
    <w:rsid w:val="00D04FF2"/>
    <w:rsid w:val="00D069E5"/>
    <w:rsid w:val="00D11374"/>
    <w:rsid w:val="00D145AC"/>
    <w:rsid w:val="00D20829"/>
    <w:rsid w:val="00D223C2"/>
    <w:rsid w:val="00D2646D"/>
    <w:rsid w:val="00D30081"/>
    <w:rsid w:val="00D4384E"/>
    <w:rsid w:val="00D476E5"/>
    <w:rsid w:val="00D522DF"/>
    <w:rsid w:val="00D52A4D"/>
    <w:rsid w:val="00D54C60"/>
    <w:rsid w:val="00D568FB"/>
    <w:rsid w:val="00D56C2E"/>
    <w:rsid w:val="00D61204"/>
    <w:rsid w:val="00D6159B"/>
    <w:rsid w:val="00D63023"/>
    <w:rsid w:val="00D66FC5"/>
    <w:rsid w:val="00D67DFF"/>
    <w:rsid w:val="00D67E0A"/>
    <w:rsid w:val="00D73CD9"/>
    <w:rsid w:val="00D74563"/>
    <w:rsid w:val="00D81A8D"/>
    <w:rsid w:val="00D87F99"/>
    <w:rsid w:val="00D92545"/>
    <w:rsid w:val="00D94A8C"/>
    <w:rsid w:val="00D94D2A"/>
    <w:rsid w:val="00D96954"/>
    <w:rsid w:val="00DA5655"/>
    <w:rsid w:val="00DA6FA7"/>
    <w:rsid w:val="00DA73EE"/>
    <w:rsid w:val="00DB016D"/>
    <w:rsid w:val="00DB0AF4"/>
    <w:rsid w:val="00DB1347"/>
    <w:rsid w:val="00DB3096"/>
    <w:rsid w:val="00DB3488"/>
    <w:rsid w:val="00DB4B46"/>
    <w:rsid w:val="00DB4FBF"/>
    <w:rsid w:val="00DC1C60"/>
    <w:rsid w:val="00DC52C9"/>
    <w:rsid w:val="00DC5EBF"/>
    <w:rsid w:val="00DD0215"/>
    <w:rsid w:val="00DD0639"/>
    <w:rsid w:val="00DD2B41"/>
    <w:rsid w:val="00DD57ED"/>
    <w:rsid w:val="00DD61B3"/>
    <w:rsid w:val="00DD6951"/>
    <w:rsid w:val="00DD6EE3"/>
    <w:rsid w:val="00DE0FE5"/>
    <w:rsid w:val="00DE2555"/>
    <w:rsid w:val="00DE2556"/>
    <w:rsid w:val="00DE4834"/>
    <w:rsid w:val="00DE54AD"/>
    <w:rsid w:val="00DE6E10"/>
    <w:rsid w:val="00DF1E2D"/>
    <w:rsid w:val="00DF23B1"/>
    <w:rsid w:val="00DF2BDF"/>
    <w:rsid w:val="00DF44BA"/>
    <w:rsid w:val="00DF4E73"/>
    <w:rsid w:val="00DF5A33"/>
    <w:rsid w:val="00DF6239"/>
    <w:rsid w:val="00DF67C4"/>
    <w:rsid w:val="00DF7B38"/>
    <w:rsid w:val="00E01B04"/>
    <w:rsid w:val="00E026A1"/>
    <w:rsid w:val="00E03315"/>
    <w:rsid w:val="00E10D48"/>
    <w:rsid w:val="00E10DF6"/>
    <w:rsid w:val="00E137E0"/>
    <w:rsid w:val="00E13AE4"/>
    <w:rsid w:val="00E1791A"/>
    <w:rsid w:val="00E22BE1"/>
    <w:rsid w:val="00E2348C"/>
    <w:rsid w:val="00E23E22"/>
    <w:rsid w:val="00E25DCF"/>
    <w:rsid w:val="00E26E40"/>
    <w:rsid w:val="00E27446"/>
    <w:rsid w:val="00E3002B"/>
    <w:rsid w:val="00E3243E"/>
    <w:rsid w:val="00E346A4"/>
    <w:rsid w:val="00E36237"/>
    <w:rsid w:val="00E42E58"/>
    <w:rsid w:val="00E4520A"/>
    <w:rsid w:val="00E473FB"/>
    <w:rsid w:val="00E604EC"/>
    <w:rsid w:val="00E63270"/>
    <w:rsid w:val="00E639C0"/>
    <w:rsid w:val="00E63AC5"/>
    <w:rsid w:val="00E63EA5"/>
    <w:rsid w:val="00E6690E"/>
    <w:rsid w:val="00E70D7E"/>
    <w:rsid w:val="00E72FC6"/>
    <w:rsid w:val="00E74800"/>
    <w:rsid w:val="00E76199"/>
    <w:rsid w:val="00E763C3"/>
    <w:rsid w:val="00E84488"/>
    <w:rsid w:val="00E8518D"/>
    <w:rsid w:val="00E85B0C"/>
    <w:rsid w:val="00E86A12"/>
    <w:rsid w:val="00E86CE6"/>
    <w:rsid w:val="00E90911"/>
    <w:rsid w:val="00E92AAA"/>
    <w:rsid w:val="00E96201"/>
    <w:rsid w:val="00E971C2"/>
    <w:rsid w:val="00EA02A9"/>
    <w:rsid w:val="00EA288A"/>
    <w:rsid w:val="00EA48C2"/>
    <w:rsid w:val="00EA634B"/>
    <w:rsid w:val="00EB232D"/>
    <w:rsid w:val="00EB3A4C"/>
    <w:rsid w:val="00EB4277"/>
    <w:rsid w:val="00EB5025"/>
    <w:rsid w:val="00EB56FD"/>
    <w:rsid w:val="00EB5B94"/>
    <w:rsid w:val="00EB7170"/>
    <w:rsid w:val="00EB7DF7"/>
    <w:rsid w:val="00EC14F2"/>
    <w:rsid w:val="00EC1D5E"/>
    <w:rsid w:val="00EC2454"/>
    <w:rsid w:val="00EC2C07"/>
    <w:rsid w:val="00EC2C53"/>
    <w:rsid w:val="00EC3DDF"/>
    <w:rsid w:val="00EC78A0"/>
    <w:rsid w:val="00ED08B4"/>
    <w:rsid w:val="00ED113A"/>
    <w:rsid w:val="00ED57FF"/>
    <w:rsid w:val="00EE10C4"/>
    <w:rsid w:val="00EE4548"/>
    <w:rsid w:val="00EE7AC5"/>
    <w:rsid w:val="00EF0059"/>
    <w:rsid w:val="00EF12D8"/>
    <w:rsid w:val="00EF5991"/>
    <w:rsid w:val="00EF67FE"/>
    <w:rsid w:val="00EF6836"/>
    <w:rsid w:val="00F001A5"/>
    <w:rsid w:val="00F01F62"/>
    <w:rsid w:val="00F0415B"/>
    <w:rsid w:val="00F05A00"/>
    <w:rsid w:val="00F11D59"/>
    <w:rsid w:val="00F12A5A"/>
    <w:rsid w:val="00F15BC8"/>
    <w:rsid w:val="00F16701"/>
    <w:rsid w:val="00F27CED"/>
    <w:rsid w:val="00F3000F"/>
    <w:rsid w:val="00F30F06"/>
    <w:rsid w:val="00F31B6C"/>
    <w:rsid w:val="00F320F2"/>
    <w:rsid w:val="00F36C50"/>
    <w:rsid w:val="00F40101"/>
    <w:rsid w:val="00F42590"/>
    <w:rsid w:val="00F45C6C"/>
    <w:rsid w:val="00F5255A"/>
    <w:rsid w:val="00F555E6"/>
    <w:rsid w:val="00F561AA"/>
    <w:rsid w:val="00F56E1C"/>
    <w:rsid w:val="00F613FC"/>
    <w:rsid w:val="00F62790"/>
    <w:rsid w:val="00F664BC"/>
    <w:rsid w:val="00F678E1"/>
    <w:rsid w:val="00F70873"/>
    <w:rsid w:val="00F731CE"/>
    <w:rsid w:val="00F734BD"/>
    <w:rsid w:val="00F73709"/>
    <w:rsid w:val="00F75A18"/>
    <w:rsid w:val="00F75E8E"/>
    <w:rsid w:val="00F766BB"/>
    <w:rsid w:val="00F80612"/>
    <w:rsid w:val="00F83585"/>
    <w:rsid w:val="00F86583"/>
    <w:rsid w:val="00F8663D"/>
    <w:rsid w:val="00F86DEB"/>
    <w:rsid w:val="00F870D4"/>
    <w:rsid w:val="00F87670"/>
    <w:rsid w:val="00F877BA"/>
    <w:rsid w:val="00F94A6B"/>
    <w:rsid w:val="00FA1251"/>
    <w:rsid w:val="00FA26D5"/>
    <w:rsid w:val="00FA55BC"/>
    <w:rsid w:val="00FB03B6"/>
    <w:rsid w:val="00FB0BF6"/>
    <w:rsid w:val="00FB53AF"/>
    <w:rsid w:val="00FB5D5A"/>
    <w:rsid w:val="00FB7F81"/>
    <w:rsid w:val="00FC0B75"/>
    <w:rsid w:val="00FC0FAE"/>
    <w:rsid w:val="00FC1094"/>
    <w:rsid w:val="00FC17FE"/>
    <w:rsid w:val="00FC3223"/>
    <w:rsid w:val="00FC59C8"/>
    <w:rsid w:val="00FC7DCC"/>
    <w:rsid w:val="00FD3089"/>
    <w:rsid w:val="00FD38CA"/>
    <w:rsid w:val="00FD561B"/>
    <w:rsid w:val="00FD6D41"/>
    <w:rsid w:val="00FD764F"/>
    <w:rsid w:val="00FE2781"/>
    <w:rsid w:val="00FE36F7"/>
    <w:rsid w:val="00FF0C7A"/>
    <w:rsid w:val="00FF13D6"/>
    <w:rsid w:val="00FF2491"/>
    <w:rsid w:val="00FF3D38"/>
    <w:rsid w:val="00FF3D3E"/>
    <w:rsid w:val="00FF56FA"/>
    <w:rsid w:val="00FF6E8D"/>
    <w:rsid w:val="00FF7446"/>
    <w:rsid w:val="010975C0"/>
    <w:rsid w:val="04296264"/>
    <w:rsid w:val="05301F0E"/>
    <w:rsid w:val="05EE1F4D"/>
    <w:rsid w:val="07DF3D76"/>
    <w:rsid w:val="0A955CD7"/>
    <w:rsid w:val="0C3E5D37"/>
    <w:rsid w:val="0C5D6A24"/>
    <w:rsid w:val="0CB35563"/>
    <w:rsid w:val="10014314"/>
    <w:rsid w:val="1031679E"/>
    <w:rsid w:val="11686FCB"/>
    <w:rsid w:val="116F1674"/>
    <w:rsid w:val="11B40BD9"/>
    <w:rsid w:val="14FB7B00"/>
    <w:rsid w:val="15B57F86"/>
    <w:rsid w:val="15D360B3"/>
    <w:rsid w:val="15E22527"/>
    <w:rsid w:val="170F3BE3"/>
    <w:rsid w:val="18D966D2"/>
    <w:rsid w:val="196E6F88"/>
    <w:rsid w:val="1DB72D4D"/>
    <w:rsid w:val="1E2A7A0B"/>
    <w:rsid w:val="1E783D29"/>
    <w:rsid w:val="206B6E81"/>
    <w:rsid w:val="22502157"/>
    <w:rsid w:val="23317E5E"/>
    <w:rsid w:val="2491398A"/>
    <w:rsid w:val="27896EEB"/>
    <w:rsid w:val="27B841B7"/>
    <w:rsid w:val="29C452DA"/>
    <w:rsid w:val="2F067AE2"/>
    <w:rsid w:val="2FB82DD3"/>
    <w:rsid w:val="30196F59"/>
    <w:rsid w:val="31B67C7F"/>
    <w:rsid w:val="32097245"/>
    <w:rsid w:val="366175C4"/>
    <w:rsid w:val="37083255"/>
    <w:rsid w:val="37AB1B65"/>
    <w:rsid w:val="397C5A26"/>
    <w:rsid w:val="39E22542"/>
    <w:rsid w:val="3B024D7D"/>
    <w:rsid w:val="3C3663D5"/>
    <w:rsid w:val="3D0657A9"/>
    <w:rsid w:val="3FC5350E"/>
    <w:rsid w:val="3FEC556C"/>
    <w:rsid w:val="40423BA4"/>
    <w:rsid w:val="40D12367"/>
    <w:rsid w:val="429B15D2"/>
    <w:rsid w:val="42F52F66"/>
    <w:rsid w:val="433B18EF"/>
    <w:rsid w:val="44122931"/>
    <w:rsid w:val="44D84400"/>
    <w:rsid w:val="45214B42"/>
    <w:rsid w:val="4623311D"/>
    <w:rsid w:val="48AA50C6"/>
    <w:rsid w:val="4A677862"/>
    <w:rsid w:val="4BEF7421"/>
    <w:rsid w:val="4CB848EB"/>
    <w:rsid w:val="4D1D5914"/>
    <w:rsid w:val="4D937AD1"/>
    <w:rsid w:val="4E857372"/>
    <w:rsid w:val="51113F85"/>
    <w:rsid w:val="5197226B"/>
    <w:rsid w:val="5218323F"/>
    <w:rsid w:val="549A34CC"/>
    <w:rsid w:val="554C7D7D"/>
    <w:rsid w:val="5A26515D"/>
    <w:rsid w:val="5B1259FA"/>
    <w:rsid w:val="5ECA60D8"/>
    <w:rsid w:val="5EF046D1"/>
    <w:rsid w:val="5F47185C"/>
    <w:rsid w:val="60443CFE"/>
    <w:rsid w:val="614822A7"/>
    <w:rsid w:val="62462D69"/>
    <w:rsid w:val="643B7181"/>
    <w:rsid w:val="65741B1D"/>
    <w:rsid w:val="66A63D78"/>
    <w:rsid w:val="67387A63"/>
    <w:rsid w:val="68417A7F"/>
    <w:rsid w:val="695E2135"/>
    <w:rsid w:val="6D2555A0"/>
    <w:rsid w:val="6DA1160B"/>
    <w:rsid w:val="6EEA6186"/>
    <w:rsid w:val="6FE77AD3"/>
    <w:rsid w:val="70B61442"/>
    <w:rsid w:val="721526D1"/>
    <w:rsid w:val="743950BE"/>
    <w:rsid w:val="74AB0875"/>
    <w:rsid w:val="768E6959"/>
    <w:rsid w:val="76D4649A"/>
    <w:rsid w:val="78AC723D"/>
    <w:rsid w:val="79992C0C"/>
    <w:rsid w:val="7C0D70CB"/>
    <w:rsid w:val="7EF36F1F"/>
    <w:rsid w:val="7F260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31"/>
    <w:qFormat/>
    <w:uiPriority w:val="99"/>
    <w:rPr>
      <w:rFonts w:ascii="宋体" w:hAnsi="Courier New"/>
      <w:kern w:val="0"/>
      <w:szCs w:val="21"/>
    </w:rPr>
  </w:style>
  <w:style w:type="paragraph" w:styleId="3">
    <w:name w:val="Date"/>
    <w:basedOn w:val="1"/>
    <w:next w:val="1"/>
    <w:link w:val="29"/>
    <w:qFormat/>
    <w:uiPriority w:val="99"/>
    <w:pPr>
      <w:ind w:left="100" w:leftChars="2500"/>
    </w:pPr>
    <w:rPr>
      <w:kern w:val="0"/>
      <w:sz w:val="20"/>
      <w:szCs w:val="20"/>
    </w:rPr>
  </w:style>
  <w:style w:type="paragraph" w:styleId="4">
    <w:name w:val="Balloon Text"/>
    <w:basedOn w:val="1"/>
    <w:link w:val="30"/>
    <w:semiHidden/>
    <w:qFormat/>
    <w:uiPriority w:val="99"/>
    <w:rPr>
      <w:kern w:val="0"/>
      <w:sz w:val="2"/>
      <w:szCs w:val="20"/>
    </w:rPr>
  </w:style>
  <w:style w:type="paragraph" w:styleId="5">
    <w:name w:val="footer"/>
    <w:basedOn w:val="1"/>
    <w:link w:val="27"/>
    <w:qFormat/>
    <w:uiPriority w:val="99"/>
    <w:pPr>
      <w:tabs>
        <w:tab w:val="center" w:pos="4153"/>
        <w:tab w:val="right" w:pos="8306"/>
      </w:tabs>
      <w:snapToGrid w:val="0"/>
      <w:jc w:val="left"/>
    </w:pPr>
    <w:rPr>
      <w:kern w:val="0"/>
      <w:sz w:val="18"/>
      <w:szCs w:val="18"/>
    </w:rPr>
  </w:style>
  <w:style w:type="paragraph" w:styleId="6">
    <w:name w:val="header"/>
    <w:basedOn w:val="1"/>
    <w:link w:val="2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locked/>
    <w:uiPriority w:val="22"/>
    <w:rPr>
      <w:rFonts w:cs="Times New Roman"/>
      <w:b/>
      <w:bCs/>
    </w:rPr>
  </w:style>
  <w:style w:type="character" w:styleId="10">
    <w:name w:val="FollowedHyperlink"/>
    <w:qFormat/>
    <w:uiPriority w:val="99"/>
    <w:rPr>
      <w:rFonts w:cs="Times New Roman"/>
      <w:color w:val="5A5A5A"/>
      <w:u w:val="none"/>
    </w:rPr>
  </w:style>
  <w:style w:type="character" w:styleId="11">
    <w:name w:val="Emphasis"/>
    <w:qFormat/>
    <w:locked/>
    <w:uiPriority w:val="99"/>
    <w:rPr>
      <w:rFonts w:cs="Times New Roman"/>
      <w:color w:val="5A5A5A"/>
      <w:sz w:val="18"/>
      <w:szCs w:val="18"/>
    </w:rPr>
  </w:style>
  <w:style w:type="character" w:styleId="12">
    <w:name w:val="Hyperlink"/>
    <w:qFormat/>
    <w:uiPriority w:val="99"/>
    <w:rPr>
      <w:rFonts w:cs="Times New Roman"/>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jian"/>
    <w:qFormat/>
    <w:uiPriority w:val="99"/>
    <w:rPr>
      <w:rFonts w:cs="Times New Roman"/>
    </w:rPr>
  </w:style>
  <w:style w:type="character" w:customStyle="1" w:styleId="16">
    <w:name w:val="Date Char"/>
    <w:semiHidden/>
    <w:qFormat/>
    <w:locked/>
    <w:uiPriority w:val="99"/>
  </w:style>
  <w:style w:type="character" w:customStyle="1" w:styleId="17">
    <w:name w:val="onmenu02"/>
    <w:qFormat/>
    <w:uiPriority w:val="99"/>
    <w:rPr>
      <w:rFonts w:cs="Times New Roman"/>
      <w:color w:val="D7D7D7"/>
    </w:rPr>
  </w:style>
  <w:style w:type="character" w:customStyle="1" w:styleId="18">
    <w:name w:val="Plain Text Char"/>
    <w:qFormat/>
    <w:locked/>
    <w:uiPriority w:val="99"/>
    <w:rPr>
      <w:rFonts w:ascii="宋体" w:hAnsi="Courier New"/>
      <w:sz w:val="20"/>
    </w:rPr>
  </w:style>
  <w:style w:type="character" w:customStyle="1" w:styleId="19">
    <w:name w:val="apple-converted-space"/>
    <w:qFormat/>
    <w:uiPriority w:val="99"/>
    <w:rPr>
      <w:rFonts w:cs="Times New Roman"/>
    </w:rPr>
  </w:style>
  <w:style w:type="character" w:customStyle="1" w:styleId="20">
    <w:name w:val="Footer Char"/>
    <w:qFormat/>
    <w:locked/>
    <w:uiPriority w:val="99"/>
    <w:rPr>
      <w:sz w:val="18"/>
    </w:rPr>
  </w:style>
  <w:style w:type="character" w:customStyle="1" w:styleId="21">
    <w:name w:val="Header Char"/>
    <w:semiHidden/>
    <w:qFormat/>
    <w:locked/>
    <w:uiPriority w:val="99"/>
    <w:rPr>
      <w:sz w:val="18"/>
    </w:rPr>
  </w:style>
  <w:style w:type="character" w:customStyle="1" w:styleId="22">
    <w:name w:val="Balloon Text Char"/>
    <w:semiHidden/>
    <w:qFormat/>
    <w:locked/>
    <w:uiPriority w:val="99"/>
    <w:rPr>
      <w:sz w:val="18"/>
    </w:rPr>
  </w:style>
  <w:style w:type="character" w:customStyle="1" w:styleId="23">
    <w:name w:val="无间隔 Char"/>
    <w:link w:val="24"/>
    <w:qFormat/>
    <w:locked/>
    <w:uiPriority w:val="99"/>
    <w:rPr>
      <w:rFonts w:ascii="Cambria" w:hAnsi="Cambria" w:eastAsia="宋体" w:cs="Times New Roman"/>
      <w:sz w:val="22"/>
      <w:szCs w:val="22"/>
      <w:lang w:val="en-US" w:eastAsia="en-US"/>
    </w:rPr>
  </w:style>
  <w:style w:type="paragraph" w:customStyle="1" w:styleId="24">
    <w:name w:val="无间隔1"/>
    <w:basedOn w:val="1"/>
    <w:link w:val="23"/>
    <w:qFormat/>
    <w:uiPriority w:val="99"/>
    <w:pPr>
      <w:widowControl/>
      <w:jc w:val="left"/>
    </w:pPr>
    <w:rPr>
      <w:rFonts w:ascii="Cambria" w:hAnsi="Cambria"/>
      <w:kern w:val="0"/>
      <w:sz w:val="22"/>
      <w:lang w:eastAsia="en-US"/>
    </w:rPr>
  </w:style>
  <w:style w:type="character" w:customStyle="1" w:styleId="25">
    <w:name w:val="fr"/>
    <w:qFormat/>
    <w:uiPriority w:val="99"/>
    <w:rPr>
      <w:rFonts w:cs="Times New Roman"/>
    </w:rPr>
  </w:style>
  <w:style w:type="character" w:customStyle="1" w:styleId="26">
    <w:name w:val="line2"/>
    <w:qFormat/>
    <w:uiPriority w:val="99"/>
    <w:rPr>
      <w:rFonts w:cs="Times New Roman"/>
    </w:rPr>
  </w:style>
  <w:style w:type="character" w:customStyle="1" w:styleId="27">
    <w:name w:val="页脚字符"/>
    <w:link w:val="5"/>
    <w:semiHidden/>
    <w:qFormat/>
    <w:locked/>
    <w:uiPriority w:val="99"/>
    <w:rPr>
      <w:rFonts w:cs="Times New Roman"/>
      <w:sz w:val="18"/>
      <w:szCs w:val="18"/>
    </w:rPr>
  </w:style>
  <w:style w:type="character" w:customStyle="1" w:styleId="28">
    <w:name w:val="页眉字符"/>
    <w:link w:val="6"/>
    <w:semiHidden/>
    <w:qFormat/>
    <w:locked/>
    <w:uiPriority w:val="99"/>
    <w:rPr>
      <w:rFonts w:cs="Times New Roman"/>
      <w:sz w:val="18"/>
      <w:szCs w:val="18"/>
    </w:rPr>
  </w:style>
  <w:style w:type="character" w:customStyle="1" w:styleId="29">
    <w:name w:val="日期字符"/>
    <w:link w:val="3"/>
    <w:semiHidden/>
    <w:qFormat/>
    <w:locked/>
    <w:uiPriority w:val="99"/>
    <w:rPr>
      <w:rFonts w:cs="Times New Roman"/>
    </w:rPr>
  </w:style>
  <w:style w:type="character" w:customStyle="1" w:styleId="30">
    <w:name w:val="批注框文本字符"/>
    <w:link w:val="4"/>
    <w:semiHidden/>
    <w:qFormat/>
    <w:locked/>
    <w:uiPriority w:val="99"/>
    <w:rPr>
      <w:rFonts w:cs="Times New Roman"/>
      <w:sz w:val="2"/>
    </w:rPr>
  </w:style>
  <w:style w:type="character" w:customStyle="1" w:styleId="31">
    <w:name w:val="纯文本字符"/>
    <w:link w:val="2"/>
    <w:semiHidden/>
    <w:qFormat/>
    <w:locked/>
    <w:uiPriority w:val="99"/>
    <w:rPr>
      <w:rFonts w:ascii="宋体" w:hAnsi="Courier New" w:cs="Courier New"/>
      <w:sz w:val="21"/>
      <w:szCs w:val="21"/>
    </w:rPr>
  </w:style>
  <w:style w:type="paragraph" w:customStyle="1" w:styleId="32">
    <w:name w:val="List Paragraph1"/>
    <w:basedOn w:val="1"/>
    <w:qFormat/>
    <w:uiPriority w:val="99"/>
    <w:pPr>
      <w:ind w:firstLine="420" w:firstLineChars="200"/>
    </w:pPr>
  </w:style>
  <w:style w:type="paragraph" w:customStyle="1" w:styleId="33">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List Paragraph2"/>
    <w:basedOn w:val="1"/>
    <w:qFormat/>
    <w:uiPriority w:val="99"/>
    <w:pPr>
      <w:ind w:firstLine="420" w:firstLineChars="200"/>
    </w:pPr>
    <w:rPr>
      <w:rFonts w:ascii="Cambria" w:hAnsi="Cambria"/>
      <w:sz w:val="24"/>
      <w:szCs w:val="24"/>
    </w:rPr>
  </w:style>
  <w:style w:type="paragraph" w:customStyle="1" w:styleId="35">
    <w:name w:val="Default"/>
    <w:qFormat/>
    <w:uiPriority w:val="99"/>
    <w:pPr>
      <w:widowControl w:val="0"/>
      <w:autoSpaceDE w:val="0"/>
      <w:autoSpaceDN w:val="0"/>
      <w:adjustRightInd w:val="0"/>
    </w:pPr>
    <w:rPr>
      <w:rFonts w:ascii="华文宋体籠适." w:hAnsi="华文宋体籠适." w:eastAsia="华文宋体籠适." w:cs="Times New Roman"/>
      <w:color w:val="000000"/>
      <w:sz w:val="24"/>
      <w:lang w:val="en-US" w:eastAsia="zh-CN" w:bidi="ar-SA"/>
    </w:rPr>
  </w:style>
  <w:style w:type="character" w:customStyle="1" w:styleId="36">
    <w:name w:val="15"/>
    <w:qFormat/>
    <w:uiPriority w:val="0"/>
    <w:rPr>
      <w:rFonts w:hint="default" w:ascii="Times New Roman" w:hAnsi="Times New Roman" w:cs="Times New Roman"/>
      <w:color w:val="5A5A5A"/>
    </w:rPr>
  </w:style>
  <w:style w:type="paragraph" w:styleId="37">
    <w:name w:val="List Paragraph"/>
    <w:basedOn w:val="1"/>
    <w:qFormat/>
    <w:uiPriority w:val="99"/>
    <w:pPr>
      <w:ind w:firstLine="420" w:firstLineChars="200"/>
    </w:pPr>
  </w:style>
  <w:style w:type="paragraph" w:customStyle="1" w:styleId="38">
    <w:name w:val="p1"/>
    <w:basedOn w:val="1"/>
    <w:qFormat/>
    <w:uiPriority w:val="0"/>
    <w:pPr>
      <w:widowControl/>
      <w:jc w:val="left"/>
    </w:pPr>
    <w:rPr>
      <w:rFonts w:ascii=".PingFang SC" w:eastAsia=".PingFang SC"/>
      <w:color w:val="454545"/>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697</Words>
  <Characters>3978</Characters>
  <Lines>33</Lines>
  <Paragraphs>9</Paragraphs>
  <TotalTime>1</TotalTime>
  <ScaleCrop>false</ScaleCrop>
  <LinksUpToDate>false</LinksUpToDate>
  <CharactersWithSpaces>4666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2019-01-21T17:33:00Z</dcterms:created>
  <dc:creator>User</dc:creator>
  <cp:lastModifiedBy>昨天设计</cp:lastModifiedBy>
  <cp:lastPrinted>2019-05-16T02:24:00Z</cp:lastPrinted>
  <dcterms:modified xsi:type="dcterms:W3CDTF">2019-05-22T09:14:23Z</dcterms:modified>
  <dc:title>中总协〔2014〕22 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